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65F12">
      <w:pPr>
        <w:widowControl/>
        <w:ind w:firstLine="150" w:firstLineChars="100"/>
        <w:jc w:val="left"/>
        <w:rPr>
          <w:rFonts w:ascii="黑体" w:hAnsi="黑体" w:eastAsia="黑体"/>
          <w:color w:val="000000"/>
          <w:kern w:val="0"/>
          <w:sz w:val="15"/>
          <w:szCs w:val="15"/>
        </w:rPr>
      </w:pPr>
      <w:r>
        <w:rPr>
          <w:rFonts w:ascii="黑体" w:hAnsi="黑体" w:eastAsia="黑体"/>
          <w:color w:val="000000"/>
          <w:kern w:val="0"/>
          <w:sz w:val="15"/>
          <w:szCs w:val="15"/>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15"/>
          <w:szCs w:val="15"/>
        </w:rPr>
        <w:instrText xml:space="preserve">ADDIN CNKISM.UserStyle</w:instrText>
      </w:r>
      <w:r>
        <w:rPr>
          <w:rFonts w:ascii="黑体" w:hAnsi="黑体" w:eastAsia="黑体"/>
          <w:color w:val="000000"/>
          <w:kern w:val="0"/>
          <w:sz w:val="15"/>
          <w:szCs w:val="15"/>
        </w:rPr>
        <w:fldChar w:fldCharType="end"/>
      </w:r>
    </w:p>
    <w:p w14:paraId="577FF352">
      <w:pPr>
        <w:pStyle w:val="2"/>
        <w:snapToGrid w:val="0"/>
        <w:spacing w:beforeLines="0" w:line="240" w:lineRule="auto"/>
        <w:ind w:firstLine="0" w:firstLineChars="0"/>
        <w:jc w:val="left"/>
        <w:rPr>
          <w:rFonts w:ascii="Arial" w:hAnsi="黑体" w:eastAsia="黑体" w:cs="Arial"/>
          <w:color w:val="000000"/>
          <w:kern w:val="0"/>
          <w:sz w:val="24"/>
          <w:szCs w:val="24"/>
        </w:rPr>
      </w:pPr>
      <w:r>
        <w:rPr>
          <w:rFonts w:ascii="Arial" w:hAnsi="黑体" w:eastAsia="黑体" w:cs="Arial"/>
          <w:color w:val="000000"/>
          <w:kern w:val="0"/>
          <w:sz w:val="24"/>
          <w:szCs w:val="24"/>
        </w:rPr>
        <w:t>附件</w:t>
      </w:r>
      <w:r>
        <w:rPr>
          <w:rFonts w:hint="eastAsia" w:ascii="Arial" w:hAnsi="黑体" w:eastAsia="黑体" w:cs="Arial"/>
          <w:color w:val="000000"/>
          <w:kern w:val="0"/>
          <w:sz w:val="24"/>
          <w:szCs w:val="24"/>
        </w:rPr>
        <w:t>3：</w:t>
      </w:r>
    </w:p>
    <w:p w14:paraId="068A5335">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bookmarkStart w:id="0" w:name="_GoBack"/>
      <w:bookmarkEnd w:id="0"/>
      <w:r>
        <w:rPr>
          <w:rFonts w:hint="eastAsia" w:ascii="华文中宋" w:hAnsi="华文中宋" w:eastAsia="华文中宋"/>
          <w:b/>
          <w:color w:val="000000"/>
          <w:sz w:val="32"/>
          <w:szCs w:val="32"/>
        </w:rPr>
        <w:t>年全国硕士研究生招生考试公共管理研究方法考试大纲</w:t>
      </w:r>
    </w:p>
    <w:p w14:paraId="224D2E4E">
      <w:pPr>
        <w:spacing w:line="324" w:lineRule="auto"/>
        <w:ind w:firstLine="482" w:firstLineChars="200"/>
        <w:rPr>
          <w:rFonts w:ascii="FangSong_GB2312" w:hAnsi="宋体" w:eastAsia="FangSong_GB2312"/>
          <w:b/>
          <w:color w:val="000000"/>
          <w:sz w:val="24"/>
          <w:szCs w:val="24"/>
        </w:rPr>
      </w:pPr>
      <w:r>
        <w:rPr>
          <w:rFonts w:hint="eastAsia" w:ascii="FangSong_GB2312" w:hAnsi="宋体" w:eastAsia="FangSong_GB2312"/>
          <w:b/>
          <w:color w:val="000000"/>
          <w:sz w:val="24"/>
          <w:szCs w:val="24"/>
        </w:rPr>
        <w:t>Ⅰ．考试性质</w:t>
      </w:r>
    </w:p>
    <w:p w14:paraId="61066B38">
      <w:pPr>
        <w:spacing w:line="324" w:lineRule="auto"/>
        <w:rPr>
          <w:rFonts w:ascii="仿宋" w:hAnsi="仿宋" w:eastAsia="仿宋" w:cs="仿宋"/>
          <w:sz w:val="24"/>
          <w:szCs w:val="24"/>
        </w:rPr>
      </w:pPr>
      <w:r>
        <w:rPr>
          <w:rFonts w:hint="eastAsia" w:ascii="仿宋" w:hAnsi="仿宋" w:eastAsia="仿宋" w:cs="仿宋"/>
          <w:sz w:val="24"/>
          <w:szCs w:val="24"/>
        </w:rPr>
        <w:t>　　本课程是为湖南农业大学招收公共管理学术型硕士研究生而设置的公共管理</w:t>
      </w:r>
      <w:r>
        <w:rPr>
          <w:rFonts w:hint="eastAsia" w:ascii="仿宋" w:hAnsi="仿宋" w:eastAsia="仿宋" w:cs="仿宋"/>
          <w:sz w:val="24"/>
          <w:szCs w:val="24"/>
          <w:lang w:eastAsia="zh-CN"/>
        </w:rPr>
        <w:t>研究方法</w:t>
      </w:r>
      <w:r>
        <w:rPr>
          <w:rFonts w:hint="eastAsia" w:ascii="仿宋" w:hAnsi="仿宋" w:eastAsia="仿宋" w:cs="仿宋"/>
          <w:sz w:val="24"/>
          <w:szCs w:val="24"/>
        </w:rPr>
        <w:t>知识水平测试课程，其目的在于有效地测试考生掌握大学本科阶段公共管理研究方法的基本知识、基本理论和基本方法以及运用公共管理研究方法解决相关问题的能力，评价的标准是高等学校本科毕业生能达到的及格或及格以上水平，有利于招生学院在专业上择优选拔。</w:t>
      </w:r>
    </w:p>
    <w:p w14:paraId="3FF8B077">
      <w:pPr>
        <w:spacing w:line="324" w:lineRule="auto"/>
        <w:ind w:firstLine="482" w:firstLineChars="200"/>
        <w:rPr>
          <w:rFonts w:ascii="FangSong_GB2312" w:hAnsi="宋体" w:eastAsia="FangSong_GB2312"/>
          <w:b/>
          <w:color w:val="000000"/>
          <w:sz w:val="24"/>
          <w:szCs w:val="24"/>
        </w:rPr>
      </w:pPr>
      <w:r>
        <w:rPr>
          <w:rFonts w:hint="eastAsia" w:ascii="FangSong_GB2312" w:hAnsi="宋体" w:eastAsia="FangSong_GB2312"/>
          <w:b/>
          <w:color w:val="000000"/>
          <w:sz w:val="24"/>
          <w:szCs w:val="24"/>
        </w:rPr>
        <w:t>Ⅱ．考查目标</w:t>
      </w:r>
    </w:p>
    <w:p w14:paraId="17F8CF02">
      <w:pPr>
        <w:spacing w:line="324" w:lineRule="auto"/>
        <w:ind w:firstLine="420"/>
        <w:rPr>
          <w:rFonts w:ascii="仿宋" w:hAnsi="仿宋" w:eastAsia="仿宋" w:cs="仿宋"/>
          <w:sz w:val="24"/>
          <w:szCs w:val="24"/>
        </w:rPr>
      </w:pPr>
      <w:r>
        <w:rPr>
          <w:rFonts w:hint="eastAsia" w:ascii="仿宋" w:hAnsi="仿宋" w:eastAsia="仿宋" w:cs="仿宋"/>
          <w:sz w:val="24"/>
          <w:szCs w:val="24"/>
        </w:rPr>
        <w:t>本课程考试主要包括</w:t>
      </w:r>
      <w:r>
        <w:rPr>
          <w:rFonts w:hint="eastAsia" w:ascii="仿宋" w:hAnsi="仿宋" w:eastAsia="仿宋" w:cs="仿宋"/>
          <w:sz w:val="24"/>
          <w:szCs w:val="24"/>
          <w:lang w:eastAsia="zh-CN"/>
        </w:rPr>
        <w:t>选题与文献回顾、</w:t>
      </w:r>
      <w:r>
        <w:rPr>
          <w:rFonts w:hint="eastAsia" w:ascii="仿宋" w:hAnsi="仿宋" w:eastAsia="仿宋" w:cs="仿宋"/>
          <w:sz w:val="24"/>
          <w:szCs w:val="24"/>
        </w:rPr>
        <w:t>测量与操作化、抽样、调查研究、定量资料</w:t>
      </w:r>
      <w:r>
        <w:rPr>
          <w:rFonts w:hint="eastAsia" w:ascii="仿宋" w:hAnsi="仿宋" w:eastAsia="仿宋" w:cs="仿宋"/>
          <w:sz w:val="24"/>
          <w:szCs w:val="24"/>
          <w:lang w:eastAsia="zh-CN"/>
        </w:rPr>
        <w:t>的收集和</w:t>
      </w:r>
      <w:r>
        <w:rPr>
          <w:rFonts w:hint="eastAsia" w:ascii="仿宋" w:hAnsi="仿宋" w:eastAsia="仿宋" w:cs="仿宋"/>
          <w:sz w:val="24"/>
          <w:szCs w:val="24"/>
        </w:rPr>
        <w:t>分析、实地研究、个案研究等内容。要求考生：</w:t>
      </w:r>
    </w:p>
    <w:p w14:paraId="224D4281">
      <w:pPr>
        <w:spacing w:line="324" w:lineRule="auto"/>
        <w:ind w:firstLine="420"/>
        <w:rPr>
          <w:rFonts w:ascii="仿宋" w:hAnsi="仿宋" w:eastAsia="仿宋" w:cs="仿宋"/>
          <w:sz w:val="24"/>
          <w:szCs w:val="24"/>
        </w:rPr>
      </w:pPr>
      <w:r>
        <w:rPr>
          <w:rFonts w:hint="eastAsia" w:ascii="仿宋" w:hAnsi="仿宋" w:eastAsia="仿宋" w:cs="仿宋"/>
          <w:sz w:val="24"/>
          <w:szCs w:val="24"/>
        </w:rPr>
        <w:t>1．较准确掌握公共管理研究方法的基本概念。</w:t>
      </w:r>
    </w:p>
    <w:p w14:paraId="61F4845D">
      <w:pPr>
        <w:spacing w:line="324" w:lineRule="auto"/>
        <w:ind w:firstLine="420"/>
        <w:rPr>
          <w:rFonts w:ascii="仿宋" w:hAnsi="仿宋" w:eastAsia="仿宋" w:cs="仿宋"/>
          <w:sz w:val="24"/>
          <w:szCs w:val="24"/>
        </w:rPr>
      </w:pPr>
      <w:r>
        <w:rPr>
          <w:rFonts w:hint="eastAsia" w:ascii="仿宋" w:hAnsi="仿宋" w:eastAsia="仿宋" w:cs="仿宋"/>
          <w:sz w:val="24"/>
          <w:szCs w:val="24"/>
        </w:rPr>
        <w:t>2．系统地了解公共管理研究方法的基本知识、基本理论和基本方法。</w:t>
      </w:r>
    </w:p>
    <w:p w14:paraId="540C158E">
      <w:pPr>
        <w:spacing w:line="324" w:lineRule="auto"/>
        <w:ind w:firstLine="420"/>
        <w:rPr>
          <w:rFonts w:ascii="仿宋" w:hAnsi="仿宋" w:eastAsia="仿宋" w:cs="仿宋"/>
          <w:sz w:val="24"/>
          <w:szCs w:val="24"/>
        </w:rPr>
      </w:pPr>
      <w:r>
        <w:rPr>
          <w:rFonts w:hint="eastAsia" w:ascii="仿宋" w:hAnsi="仿宋" w:eastAsia="仿宋" w:cs="仿宋"/>
          <w:sz w:val="24"/>
          <w:szCs w:val="24"/>
        </w:rPr>
        <w:t>3．能够运用公共管理研究方法的基本理论知识和方法</w:t>
      </w:r>
      <w:r>
        <w:rPr>
          <w:rFonts w:hint="eastAsia" w:ascii="仿宋" w:hAnsi="仿宋" w:eastAsia="仿宋" w:cs="仿宋"/>
          <w:sz w:val="24"/>
          <w:szCs w:val="24"/>
          <w:lang w:eastAsia="zh-CN"/>
        </w:rPr>
        <w:t>，</w:t>
      </w:r>
      <w:r>
        <w:rPr>
          <w:rFonts w:hint="eastAsia" w:ascii="仿宋" w:hAnsi="仿宋" w:eastAsia="仿宋" w:cs="仿宋"/>
          <w:sz w:val="24"/>
          <w:szCs w:val="24"/>
        </w:rPr>
        <w:t>分析</w:t>
      </w:r>
      <w:r>
        <w:rPr>
          <w:rFonts w:hint="eastAsia" w:ascii="仿宋" w:hAnsi="仿宋" w:eastAsia="仿宋" w:cs="仿宋"/>
          <w:sz w:val="24"/>
          <w:szCs w:val="24"/>
          <w:lang w:eastAsia="zh-CN"/>
        </w:rPr>
        <w:t>并</w:t>
      </w:r>
      <w:r>
        <w:rPr>
          <w:rFonts w:hint="eastAsia" w:ascii="仿宋" w:hAnsi="仿宋" w:eastAsia="仿宋" w:cs="仿宋"/>
          <w:sz w:val="24"/>
          <w:szCs w:val="24"/>
        </w:rPr>
        <w:t>解决相关的理论问题和实际问题。</w:t>
      </w:r>
    </w:p>
    <w:p w14:paraId="4FCEC045">
      <w:pPr>
        <w:spacing w:line="324" w:lineRule="auto"/>
        <w:ind w:firstLine="482" w:firstLineChars="200"/>
        <w:rPr>
          <w:rFonts w:ascii="FangSong_GB2312" w:hAnsi="宋体" w:eastAsia="FangSong_GB2312"/>
          <w:b/>
          <w:color w:val="000000"/>
          <w:sz w:val="24"/>
          <w:szCs w:val="24"/>
        </w:rPr>
      </w:pPr>
      <w:r>
        <w:rPr>
          <w:rFonts w:hint="eastAsia" w:ascii="FangSong_GB2312" w:hAnsi="宋体" w:eastAsia="FangSong_GB2312"/>
          <w:b/>
          <w:color w:val="000000"/>
          <w:sz w:val="24"/>
          <w:szCs w:val="24"/>
        </w:rPr>
        <w:t>Ⅲ．考试形式和试卷结构</w:t>
      </w:r>
    </w:p>
    <w:p w14:paraId="571E271A">
      <w:pPr>
        <w:spacing w:line="324" w:lineRule="auto"/>
        <w:rPr>
          <w:rFonts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一、试卷满分及考试时间</w:t>
      </w:r>
    </w:p>
    <w:p w14:paraId="31328F7E">
      <w:pPr>
        <w:spacing w:line="324" w:lineRule="auto"/>
        <w:rPr>
          <w:rFonts w:ascii="仿宋" w:hAnsi="仿宋" w:eastAsia="仿宋" w:cs="仿宋"/>
          <w:sz w:val="24"/>
          <w:szCs w:val="24"/>
        </w:rPr>
      </w:pPr>
      <w:r>
        <w:rPr>
          <w:rFonts w:hint="eastAsia" w:ascii="仿宋" w:hAnsi="仿宋" w:eastAsia="仿宋" w:cs="仿宋"/>
          <w:sz w:val="24"/>
          <w:szCs w:val="24"/>
        </w:rPr>
        <w:t>　　本试卷满分为150分，考试时间为180分钟。</w:t>
      </w:r>
    </w:p>
    <w:p w14:paraId="3CB46249">
      <w:pPr>
        <w:spacing w:line="324" w:lineRule="auto"/>
        <w:rPr>
          <w:rFonts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二、答题方式</w:t>
      </w:r>
    </w:p>
    <w:p w14:paraId="356909C4">
      <w:pPr>
        <w:spacing w:line="324" w:lineRule="auto"/>
        <w:rPr>
          <w:rFonts w:ascii="仿宋" w:hAnsi="仿宋" w:eastAsia="仿宋" w:cs="仿宋"/>
          <w:sz w:val="24"/>
          <w:szCs w:val="24"/>
        </w:rPr>
      </w:pPr>
      <w:r>
        <w:rPr>
          <w:rFonts w:hint="eastAsia" w:ascii="仿宋" w:hAnsi="仿宋" w:eastAsia="仿宋" w:cs="仿宋"/>
          <w:sz w:val="24"/>
          <w:szCs w:val="24"/>
        </w:rPr>
        <w:t>　　答题方式为闭卷、笔试。</w:t>
      </w:r>
    </w:p>
    <w:p w14:paraId="655EF6B2">
      <w:pPr>
        <w:spacing w:line="324" w:lineRule="auto"/>
        <w:rPr>
          <w:rFonts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三、试卷内容结构</w:t>
      </w:r>
    </w:p>
    <w:p w14:paraId="06FECA2A">
      <w:pPr>
        <w:spacing w:line="324" w:lineRule="auto"/>
        <w:rPr>
          <w:rFonts w:ascii="仿宋" w:hAnsi="仿宋" w:eastAsia="仿宋" w:cs="仿宋"/>
          <w:sz w:val="24"/>
          <w:szCs w:val="24"/>
        </w:rPr>
      </w:pPr>
      <w:r>
        <w:rPr>
          <w:rFonts w:hint="eastAsia" w:ascii="仿宋" w:hAnsi="仿宋" w:eastAsia="仿宋" w:cs="仿宋"/>
          <w:sz w:val="24"/>
          <w:szCs w:val="24"/>
        </w:rPr>
        <w:t>　　公共管理研究方法的基本概念</w:t>
      </w:r>
    </w:p>
    <w:p w14:paraId="4B93F79B">
      <w:pPr>
        <w:spacing w:line="324" w:lineRule="auto"/>
        <w:rPr>
          <w:rFonts w:ascii="仿宋" w:hAnsi="仿宋" w:eastAsia="仿宋" w:cs="仿宋"/>
          <w:sz w:val="24"/>
          <w:szCs w:val="24"/>
        </w:rPr>
      </w:pPr>
      <w:r>
        <w:rPr>
          <w:rFonts w:hint="eastAsia" w:ascii="仿宋" w:hAnsi="仿宋" w:eastAsia="仿宋" w:cs="仿宋"/>
          <w:sz w:val="24"/>
          <w:szCs w:val="24"/>
        </w:rPr>
        <w:t>　　公共管理研究方法基本知识和基本理论</w:t>
      </w:r>
    </w:p>
    <w:p w14:paraId="0A2A5515">
      <w:pPr>
        <w:spacing w:line="324" w:lineRule="auto"/>
        <w:rPr>
          <w:rFonts w:ascii="仿宋" w:hAnsi="仿宋" w:eastAsia="仿宋" w:cs="仿宋"/>
          <w:sz w:val="24"/>
          <w:szCs w:val="24"/>
        </w:rPr>
      </w:pPr>
      <w:r>
        <w:rPr>
          <w:rFonts w:hint="eastAsia" w:ascii="仿宋" w:hAnsi="仿宋" w:eastAsia="仿宋" w:cs="仿宋"/>
          <w:sz w:val="24"/>
          <w:szCs w:val="24"/>
        </w:rPr>
        <w:t>　　公共管理研究方法的分析与运用</w:t>
      </w:r>
    </w:p>
    <w:p w14:paraId="415D51CE">
      <w:pPr>
        <w:spacing w:line="324" w:lineRule="auto"/>
        <w:rPr>
          <w:rFonts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四、试卷题型结构</w:t>
      </w:r>
    </w:p>
    <w:p w14:paraId="359B98D7">
      <w:pPr>
        <w:spacing w:line="324" w:lineRule="auto"/>
        <w:rPr>
          <w:rFonts w:ascii="仿宋" w:hAnsi="仿宋" w:eastAsia="仿宋" w:cs="仿宋"/>
          <w:sz w:val="24"/>
          <w:szCs w:val="24"/>
        </w:rPr>
      </w:pPr>
      <w:r>
        <w:rPr>
          <w:rFonts w:hint="eastAsia" w:ascii="仿宋" w:hAnsi="仿宋" w:eastAsia="仿宋" w:cs="仿宋"/>
          <w:sz w:val="24"/>
          <w:szCs w:val="24"/>
        </w:rPr>
        <w:t>　　名词解释题</w:t>
      </w:r>
      <w:r>
        <w:rPr>
          <w:rFonts w:hint="eastAsia" w:ascii="仿宋" w:hAnsi="仿宋" w:eastAsia="仿宋" w:cs="仿宋"/>
          <w:sz w:val="24"/>
          <w:szCs w:val="24"/>
          <w:lang w:val="en-US" w:eastAsia="zh-CN"/>
        </w:rPr>
        <w:t>3</w:t>
      </w:r>
      <w:r>
        <w:rPr>
          <w:rFonts w:hint="eastAsia" w:ascii="仿宋" w:hAnsi="仿宋" w:eastAsia="仿宋" w:cs="仿宋"/>
          <w:sz w:val="24"/>
          <w:szCs w:val="24"/>
        </w:rPr>
        <w:t>0分</w:t>
      </w:r>
    </w:p>
    <w:p w14:paraId="687E29CF">
      <w:pPr>
        <w:spacing w:line="324" w:lineRule="auto"/>
        <w:rPr>
          <w:rFonts w:ascii="仿宋" w:hAnsi="仿宋" w:eastAsia="仿宋" w:cs="仿宋"/>
          <w:sz w:val="24"/>
          <w:szCs w:val="24"/>
        </w:rPr>
      </w:pPr>
      <w:r>
        <w:rPr>
          <w:rFonts w:hint="eastAsia" w:ascii="仿宋" w:hAnsi="仿宋" w:eastAsia="仿宋" w:cs="仿宋"/>
          <w:sz w:val="24"/>
          <w:szCs w:val="24"/>
        </w:rPr>
        <w:t>　　简答题</w:t>
      </w:r>
      <w:r>
        <w:rPr>
          <w:rFonts w:hint="eastAsia" w:ascii="仿宋" w:hAnsi="仿宋" w:eastAsia="仿宋" w:cs="仿宋"/>
          <w:sz w:val="24"/>
          <w:szCs w:val="24"/>
          <w:lang w:val="en-US" w:eastAsia="zh-CN"/>
        </w:rPr>
        <w:t>4</w:t>
      </w:r>
      <w:r>
        <w:rPr>
          <w:rFonts w:hint="eastAsia" w:ascii="仿宋" w:hAnsi="仿宋" w:eastAsia="仿宋" w:cs="仿宋"/>
          <w:sz w:val="24"/>
          <w:szCs w:val="24"/>
        </w:rPr>
        <w:t>0分</w:t>
      </w:r>
    </w:p>
    <w:p w14:paraId="42197A86">
      <w:pPr>
        <w:spacing w:line="324" w:lineRule="auto"/>
        <w:ind w:firstLine="480"/>
        <w:rPr>
          <w:rFonts w:hint="eastAsia" w:ascii="仿宋" w:hAnsi="仿宋" w:eastAsia="仿宋" w:cs="仿宋"/>
          <w:sz w:val="24"/>
          <w:szCs w:val="24"/>
        </w:rPr>
      </w:pPr>
      <w:r>
        <w:rPr>
          <w:rFonts w:hint="eastAsia" w:ascii="仿宋" w:hAnsi="仿宋" w:eastAsia="仿宋" w:cs="仿宋"/>
          <w:sz w:val="24"/>
          <w:szCs w:val="24"/>
          <w:lang w:val="en-US" w:eastAsia="zh-CN"/>
        </w:rPr>
        <w:t>论述</w:t>
      </w:r>
      <w:r>
        <w:rPr>
          <w:rFonts w:hint="eastAsia" w:ascii="仿宋" w:hAnsi="仿宋" w:eastAsia="仿宋" w:cs="仿宋"/>
          <w:sz w:val="24"/>
          <w:szCs w:val="24"/>
        </w:rPr>
        <w:t>题</w:t>
      </w:r>
      <w:r>
        <w:rPr>
          <w:rFonts w:hint="eastAsia" w:ascii="仿宋" w:hAnsi="仿宋" w:eastAsia="仿宋" w:cs="仿宋"/>
          <w:sz w:val="24"/>
          <w:szCs w:val="24"/>
          <w:lang w:val="en-US" w:eastAsia="zh-CN"/>
        </w:rPr>
        <w:t>4</w:t>
      </w:r>
      <w:r>
        <w:rPr>
          <w:rFonts w:hint="eastAsia" w:ascii="仿宋" w:hAnsi="仿宋" w:eastAsia="仿宋" w:cs="仿宋"/>
          <w:sz w:val="24"/>
          <w:szCs w:val="24"/>
        </w:rPr>
        <w:t>0分</w:t>
      </w:r>
    </w:p>
    <w:p w14:paraId="0A6ABA98">
      <w:pPr>
        <w:spacing w:line="324" w:lineRule="auto"/>
        <w:ind w:firstLine="480"/>
        <w:rPr>
          <w:rFonts w:hint="eastAsia" w:ascii="仿宋" w:hAnsi="仿宋" w:eastAsia="仿宋" w:cs="仿宋"/>
          <w:sz w:val="24"/>
          <w:szCs w:val="24"/>
        </w:rPr>
      </w:pPr>
      <w:r>
        <w:rPr>
          <w:rFonts w:hint="eastAsia" w:ascii="仿宋" w:hAnsi="仿宋" w:eastAsia="仿宋" w:cs="仿宋"/>
          <w:sz w:val="24"/>
          <w:szCs w:val="24"/>
          <w:lang w:val="en-US" w:eastAsia="zh-CN"/>
        </w:rPr>
        <w:t>研究设计40分</w:t>
      </w:r>
    </w:p>
    <w:p w14:paraId="43A4C720">
      <w:pPr>
        <w:spacing w:line="324" w:lineRule="auto"/>
        <w:ind w:firstLine="482" w:firstLineChars="200"/>
        <w:rPr>
          <w:rFonts w:ascii="FangSong_GB2312" w:hAnsi="宋体" w:eastAsia="FangSong_GB2312"/>
          <w:b/>
          <w:color w:val="000000"/>
          <w:sz w:val="24"/>
          <w:szCs w:val="24"/>
        </w:rPr>
      </w:pPr>
      <w:r>
        <w:rPr>
          <w:rFonts w:hint="eastAsia" w:ascii="FangSong_GB2312" w:hAnsi="宋体" w:eastAsia="FangSong_GB2312"/>
          <w:b/>
          <w:color w:val="000000"/>
          <w:sz w:val="24"/>
          <w:szCs w:val="24"/>
        </w:rPr>
        <w:t>Ⅳ．考查内容</w:t>
      </w:r>
    </w:p>
    <w:p w14:paraId="522D585C">
      <w:pPr>
        <w:spacing w:line="324" w:lineRule="auto"/>
        <w:rPr>
          <w:rFonts w:ascii="仿宋" w:hAnsi="仿宋" w:eastAsia="仿宋" w:cs="仿宋"/>
          <w:sz w:val="24"/>
          <w:szCs w:val="24"/>
        </w:rPr>
      </w:pPr>
      <w:r>
        <w:rPr>
          <w:rFonts w:hint="eastAsia" w:ascii="仿宋" w:hAnsi="仿宋" w:eastAsia="仿宋" w:cs="仿宋"/>
          <w:sz w:val="24"/>
          <w:szCs w:val="24"/>
        </w:rPr>
        <w:t xml:space="preserve">    （一）</w:t>
      </w:r>
      <w:r>
        <w:rPr>
          <w:rFonts w:hint="eastAsia" w:ascii="仿宋" w:hAnsi="仿宋" w:eastAsia="仿宋" w:cs="仿宋"/>
          <w:sz w:val="24"/>
          <w:szCs w:val="24"/>
          <w:lang w:eastAsia="zh-CN"/>
        </w:rPr>
        <w:t>社会科学研究与方法体系</w:t>
      </w:r>
    </w:p>
    <w:p w14:paraId="658CD886">
      <w:pPr>
        <w:spacing w:line="324" w:lineRule="auto"/>
        <w:ind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社会科学研究的概念和特征</w:t>
      </w:r>
      <w:r>
        <w:rPr>
          <w:rFonts w:hint="eastAsia" w:ascii="仿宋" w:hAnsi="仿宋" w:eastAsia="仿宋" w:cs="仿宋"/>
          <w:sz w:val="24"/>
          <w:szCs w:val="24"/>
        </w:rPr>
        <w:t>；</w:t>
      </w:r>
      <w:r>
        <w:rPr>
          <w:rFonts w:hint="eastAsia" w:ascii="仿宋" w:hAnsi="仿宋" w:eastAsia="仿宋" w:cs="仿宋"/>
          <w:sz w:val="24"/>
          <w:szCs w:val="24"/>
          <w:lang w:eastAsia="zh-CN"/>
        </w:rPr>
        <w:t>社会科学研究的方法体系</w:t>
      </w:r>
      <w:r>
        <w:rPr>
          <w:rFonts w:hint="eastAsia" w:ascii="仿宋" w:hAnsi="仿宋" w:eastAsia="仿宋" w:cs="仿宋"/>
          <w:sz w:val="24"/>
          <w:szCs w:val="24"/>
        </w:rPr>
        <w:t>；</w:t>
      </w:r>
      <w:r>
        <w:rPr>
          <w:rFonts w:hint="eastAsia" w:ascii="仿宋" w:hAnsi="仿宋" w:eastAsia="仿宋" w:cs="仿宋"/>
          <w:sz w:val="24"/>
          <w:szCs w:val="24"/>
          <w:lang w:eastAsia="zh-CN"/>
        </w:rPr>
        <w:t>定性研究和定量研究的特征；研究的过程。</w:t>
      </w:r>
    </w:p>
    <w:p w14:paraId="31AB424A">
      <w:pPr>
        <w:spacing w:line="324" w:lineRule="auto"/>
        <w:ind w:firstLine="480"/>
        <w:rPr>
          <w:rFonts w:hint="eastAsia" w:ascii="仿宋" w:hAnsi="仿宋" w:eastAsia="仿宋" w:cs="仿宋"/>
          <w:sz w:val="24"/>
          <w:szCs w:val="24"/>
          <w:lang w:eastAsia="zh-CN"/>
        </w:rPr>
      </w:pPr>
      <w:r>
        <w:rPr>
          <w:rFonts w:hint="eastAsia" w:ascii="仿宋" w:hAnsi="仿宋" w:eastAsia="仿宋" w:cs="仿宋"/>
          <w:sz w:val="24"/>
          <w:szCs w:val="24"/>
        </w:rPr>
        <w:t>（二）</w:t>
      </w:r>
      <w:r>
        <w:rPr>
          <w:rFonts w:hint="eastAsia" w:ascii="仿宋" w:hAnsi="仿宋" w:eastAsia="仿宋" w:cs="仿宋"/>
          <w:sz w:val="24"/>
          <w:szCs w:val="24"/>
          <w:lang w:eastAsia="zh-CN"/>
        </w:rPr>
        <w:t>选题和文献综述</w:t>
      </w:r>
    </w:p>
    <w:p w14:paraId="2B0E0D59">
      <w:pPr>
        <w:spacing w:line="324"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eastAsia="zh-CN"/>
        </w:rPr>
        <w:t>研究问题及其来源</w:t>
      </w:r>
      <w:r>
        <w:rPr>
          <w:rFonts w:hint="eastAsia" w:ascii="仿宋" w:hAnsi="仿宋" w:eastAsia="仿宋" w:cs="仿宋"/>
          <w:sz w:val="24"/>
          <w:szCs w:val="24"/>
        </w:rPr>
        <w:t>；</w:t>
      </w:r>
      <w:r>
        <w:rPr>
          <w:rFonts w:hint="eastAsia" w:ascii="仿宋" w:hAnsi="仿宋" w:eastAsia="仿宋" w:cs="仿宋"/>
          <w:sz w:val="24"/>
          <w:szCs w:val="24"/>
          <w:lang w:eastAsia="zh-CN"/>
        </w:rPr>
        <w:t>选题的标准；研究问题的明确化；文献综述的步骤。</w:t>
      </w:r>
    </w:p>
    <w:p w14:paraId="77AAFA4C">
      <w:pPr>
        <w:spacing w:line="324" w:lineRule="auto"/>
        <w:ind w:firstLine="420"/>
        <w:rPr>
          <w:rFonts w:hint="eastAsia" w:ascii="仿宋" w:hAnsi="仿宋" w:eastAsia="仿宋" w:cs="仿宋"/>
          <w:sz w:val="24"/>
          <w:szCs w:val="24"/>
          <w:lang w:eastAsia="zh-CN"/>
        </w:rPr>
      </w:pPr>
      <w:r>
        <w:rPr>
          <w:rFonts w:hint="eastAsia" w:ascii="仿宋" w:hAnsi="仿宋" w:eastAsia="仿宋" w:cs="仿宋"/>
          <w:sz w:val="24"/>
          <w:szCs w:val="24"/>
        </w:rPr>
        <w:t>（三）</w:t>
      </w:r>
      <w:r>
        <w:rPr>
          <w:rFonts w:hint="eastAsia" w:ascii="仿宋" w:hAnsi="仿宋" w:eastAsia="仿宋" w:cs="仿宋"/>
          <w:sz w:val="24"/>
          <w:szCs w:val="24"/>
          <w:lang w:eastAsia="zh-CN"/>
        </w:rPr>
        <w:t>理论与研究设计</w:t>
      </w:r>
    </w:p>
    <w:p w14:paraId="5AD09837">
      <w:pPr>
        <w:spacing w:line="324" w:lineRule="auto"/>
        <w:rPr>
          <w:rFonts w:hint="eastAsia"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理论及其层次；理论的构成要素；理论与研究的关系；理论建构与检验</w:t>
      </w:r>
      <w:r>
        <w:rPr>
          <w:rFonts w:hint="eastAsia" w:ascii="仿宋" w:hAnsi="仿宋" w:eastAsia="仿宋" w:cs="仿宋"/>
          <w:sz w:val="24"/>
          <w:szCs w:val="24"/>
          <w:lang w:val="en-US" w:eastAsia="zh-CN"/>
        </w:rPr>
        <w:t>;研究设计的概述及其要素；研究计划书。</w:t>
      </w:r>
    </w:p>
    <w:p w14:paraId="74CC46A5">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（四）</w:t>
      </w:r>
      <w:r>
        <w:rPr>
          <w:rFonts w:hint="eastAsia" w:ascii="仿宋" w:hAnsi="仿宋" w:eastAsia="仿宋" w:cs="仿宋"/>
          <w:sz w:val="24"/>
          <w:szCs w:val="24"/>
          <w:lang w:eastAsia="zh-CN"/>
        </w:rPr>
        <w:t>测量与操作化</w:t>
      </w:r>
    </w:p>
    <w:p w14:paraId="67647858">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测量的概念与层次；概念的操作化；量表；测量的信度和效度。</w:t>
      </w:r>
    </w:p>
    <w:p w14:paraId="61088BA7">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（五）</w:t>
      </w:r>
      <w:r>
        <w:rPr>
          <w:rFonts w:hint="eastAsia" w:ascii="仿宋" w:hAnsi="仿宋" w:eastAsia="仿宋" w:cs="仿宋"/>
          <w:sz w:val="24"/>
          <w:szCs w:val="24"/>
          <w:lang w:eastAsia="zh-CN"/>
        </w:rPr>
        <w:t>抽样</w:t>
      </w:r>
    </w:p>
    <w:p w14:paraId="14818F5A">
      <w:pPr>
        <w:spacing w:line="324" w:lineRule="auto"/>
        <w:jc w:val="left"/>
        <w:rPr>
          <w:rFonts w:hint="default"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抽样的意义与作用；抽样的术语；抽样设计；概率抽样的原理和程序；概率抽样的方法；户内抽样和</w:t>
      </w:r>
      <w:r>
        <w:rPr>
          <w:rFonts w:hint="eastAsia" w:ascii="仿宋" w:hAnsi="仿宋" w:eastAsia="仿宋" w:cs="仿宋"/>
          <w:sz w:val="24"/>
          <w:szCs w:val="24"/>
          <w:lang w:val="en-US" w:eastAsia="zh-CN"/>
        </w:rPr>
        <w:t>PPS抽样；非概率抽样方法；样本规模、抽样误差及其控制。</w:t>
      </w:r>
    </w:p>
    <w:p w14:paraId="70A33CFE">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（六）</w:t>
      </w:r>
      <w:r>
        <w:rPr>
          <w:rFonts w:hint="eastAsia" w:ascii="仿宋" w:hAnsi="仿宋" w:eastAsia="仿宋" w:cs="仿宋"/>
          <w:sz w:val="24"/>
          <w:szCs w:val="24"/>
          <w:lang w:eastAsia="zh-CN"/>
        </w:rPr>
        <w:t>量化资料收集与整理</w:t>
      </w:r>
    </w:p>
    <w:p w14:paraId="3926C16C">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实验法；问卷调查法；资料的整理；国内微观调查数据库相关认识。</w:t>
      </w:r>
    </w:p>
    <w:p w14:paraId="7DE9C76C">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（七）</w:t>
      </w:r>
      <w:r>
        <w:rPr>
          <w:rFonts w:hint="eastAsia" w:ascii="仿宋" w:hAnsi="仿宋" w:eastAsia="仿宋" w:cs="仿宋"/>
          <w:sz w:val="24"/>
          <w:szCs w:val="24"/>
          <w:lang w:eastAsia="zh-CN"/>
        </w:rPr>
        <w:t>基本量化分析方法</w:t>
      </w:r>
    </w:p>
    <w:p w14:paraId="3074DFB0">
      <w:pPr>
        <w:spacing w:line="324" w:lineRule="auto"/>
        <w:jc w:val="left"/>
        <w:rPr>
          <w:rFonts w:hint="default"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描述性统计分析方法</w:t>
      </w:r>
      <w:r>
        <w:rPr>
          <w:rFonts w:hint="eastAsia" w:ascii="仿宋" w:hAnsi="仿宋" w:eastAsia="仿宋" w:cs="仿宋"/>
          <w:sz w:val="24"/>
          <w:szCs w:val="24"/>
        </w:rPr>
        <w:t>；</w:t>
      </w:r>
      <w:r>
        <w:rPr>
          <w:rFonts w:hint="eastAsia" w:ascii="仿宋" w:hAnsi="仿宋" w:eastAsia="仿宋" w:cs="仿宋"/>
          <w:sz w:val="24"/>
          <w:szCs w:val="24"/>
          <w:lang w:eastAsia="zh-CN"/>
        </w:rPr>
        <w:t>概率分布基础知识；参数估计与假设检验</w:t>
      </w:r>
      <w:r>
        <w:rPr>
          <w:rFonts w:hint="eastAsia" w:ascii="仿宋" w:hAnsi="仿宋" w:eastAsia="仿宋" w:cs="仿宋"/>
          <w:sz w:val="24"/>
          <w:szCs w:val="24"/>
        </w:rPr>
        <w:t>；</w:t>
      </w:r>
      <w:r>
        <w:rPr>
          <w:rFonts w:hint="eastAsia" w:ascii="仿宋" w:hAnsi="仿宋" w:eastAsia="仿宋" w:cs="仿宋"/>
          <w:sz w:val="24"/>
          <w:szCs w:val="24"/>
          <w:lang w:eastAsia="zh-CN"/>
        </w:rPr>
        <w:t>一元线性回归分析；多元线性回归；</w:t>
      </w:r>
      <w:r>
        <w:rPr>
          <w:rFonts w:hint="eastAsia" w:ascii="仿宋" w:hAnsi="仿宋" w:eastAsia="仿宋" w:cs="仿宋"/>
          <w:sz w:val="24"/>
          <w:szCs w:val="24"/>
          <w:lang w:val="en-US" w:eastAsia="zh-CN"/>
        </w:rPr>
        <w:t>Logistic回归；Probit回归；Tobit回归等。</w:t>
      </w:r>
    </w:p>
    <w:p w14:paraId="375797D0">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（八）</w:t>
      </w:r>
      <w:r>
        <w:rPr>
          <w:rFonts w:hint="eastAsia" w:ascii="仿宋" w:hAnsi="仿宋" w:eastAsia="仿宋" w:cs="仿宋"/>
          <w:sz w:val="24"/>
          <w:szCs w:val="24"/>
          <w:lang w:eastAsia="zh-CN"/>
        </w:rPr>
        <w:t>政策实验分析方法</w:t>
      </w:r>
    </w:p>
    <w:p w14:paraId="275542DB">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政策实验分析</w:t>
      </w:r>
      <w:r>
        <w:rPr>
          <w:rFonts w:hint="eastAsia" w:ascii="仿宋" w:hAnsi="仿宋" w:eastAsia="仿宋" w:cs="仿宋"/>
          <w:sz w:val="24"/>
          <w:szCs w:val="24"/>
        </w:rPr>
        <w:t>相关概念及内涵；</w:t>
      </w:r>
      <w:r>
        <w:rPr>
          <w:rFonts w:hint="eastAsia" w:ascii="仿宋" w:hAnsi="仿宋" w:eastAsia="仿宋" w:cs="仿宋"/>
          <w:sz w:val="24"/>
          <w:szCs w:val="24"/>
          <w:lang w:eastAsia="zh-CN"/>
        </w:rPr>
        <w:t>工具变量法研究思路、基本原理及其适用性</w:t>
      </w:r>
      <w:r>
        <w:rPr>
          <w:rFonts w:hint="eastAsia" w:ascii="仿宋" w:hAnsi="仿宋" w:eastAsia="仿宋" w:cs="仿宋"/>
          <w:sz w:val="24"/>
          <w:szCs w:val="24"/>
        </w:rPr>
        <w:t>；</w:t>
      </w:r>
      <w:r>
        <w:rPr>
          <w:rFonts w:hint="eastAsia" w:ascii="仿宋" w:hAnsi="仿宋" w:eastAsia="仿宋" w:cs="仿宋"/>
          <w:sz w:val="24"/>
          <w:szCs w:val="24"/>
          <w:lang w:eastAsia="zh-CN"/>
        </w:rPr>
        <w:t>差分法研究思路、基本原理及其适用性；倾向得分匹配法研究思路、基本原理及其适用性；倾向匹配双重差分法的步骤；断点回归设计研究思路、基本原理及其适用性；合成控制法研究思路、基本原理及其适用性。</w:t>
      </w:r>
    </w:p>
    <w:p w14:paraId="2FFCB25D">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（九）</w:t>
      </w:r>
      <w:r>
        <w:rPr>
          <w:rFonts w:hint="eastAsia" w:ascii="仿宋" w:hAnsi="仿宋" w:eastAsia="仿宋" w:cs="仿宋"/>
          <w:sz w:val="24"/>
          <w:szCs w:val="24"/>
          <w:lang w:eastAsia="zh-CN"/>
        </w:rPr>
        <w:t>文献研究</w:t>
      </w:r>
    </w:p>
    <w:p w14:paraId="1F089058">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文献的定义与类型；文献研究的主要形式；基于互联网的文献研究；对文献研究的认识。</w:t>
      </w:r>
    </w:p>
    <w:p w14:paraId="7385C96C">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（十）</w:t>
      </w:r>
      <w:r>
        <w:rPr>
          <w:rFonts w:hint="eastAsia" w:ascii="仿宋" w:hAnsi="仿宋" w:eastAsia="仿宋" w:cs="仿宋"/>
          <w:sz w:val="24"/>
          <w:szCs w:val="24"/>
          <w:lang w:eastAsia="zh-CN"/>
        </w:rPr>
        <w:t>定性资料的收集与整理</w:t>
      </w:r>
    </w:p>
    <w:p w14:paraId="6185EBDF">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实地研究的概念和形式；实地研究的过程；访谈法；观察法；定性资料的整理。</w:t>
      </w:r>
    </w:p>
    <w:p w14:paraId="539B0770">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（十一）</w:t>
      </w:r>
      <w:r>
        <w:rPr>
          <w:rFonts w:hint="eastAsia" w:ascii="仿宋" w:hAnsi="仿宋" w:eastAsia="仿宋" w:cs="仿宋"/>
          <w:sz w:val="24"/>
          <w:szCs w:val="24"/>
          <w:lang w:eastAsia="zh-CN"/>
        </w:rPr>
        <w:t>定性资料分析</w:t>
      </w:r>
    </w:p>
    <w:p w14:paraId="5DED682B">
      <w:pPr>
        <w:spacing w:line="324" w:lineRule="auto"/>
        <w:jc w:val="left"/>
        <w:rPr>
          <w:rFonts w:hint="eastAsia" w:ascii="仿宋" w:hAnsi="仿宋" w:eastAsia="仿宋" w:cs="仿宋"/>
          <w:sz w:val="24"/>
          <w:szCs w:val="24"/>
          <w:lang w:eastAsia="zh-CN"/>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比较研究；案例研究；扎根理论；定性资料分析的过程与方法</w:t>
      </w:r>
    </w:p>
    <w:p w14:paraId="21F1A694">
      <w:pPr>
        <w:spacing w:line="324"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（十二）</w:t>
      </w:r>
      <w:r>
        <w:rPr>
          <w:rFonts w:hint="eastAsia" w:ascii="仿宋" w:hAnsi="仿宋" w:eastAsia="仿宋" w:cs="仿宋"/>
          <w:sz w:val="24"/>
          <w:szCs w:val="24"/>
          <w:lang w:eastAsia="zh-CN"/>
        </w:rPr>
        <w:t>定性比较分析</w:t>
      </w:r>
    </w:p>
    <w:p w14:paraId="42D0229D">
      <w:pPr>
        <w:spacing w:line="324" w:lineRule="auto"/>
        <w:jc w:val="lef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定性比较分析方法的特征及其适用性；定性比较分析的研究设计；定性比较分析的发展方向。</w:t>
      </w:r>
    </w:p>
    <w:p w14:paraId="690C9BD7">
      <w:pPr>
        <w:numPr>
          <w:ilvl w:val="0"/>
          <w:numId w:val="1"/>
        </w:numPr>
        <w:spacing w:line="324" w:lineRule="auto"/>
        <w:ind w:firstLine="435"/>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定量研究和定性研究的结果表达</w:t>
      </w:r>
    </w:p>
    <w:p w14:paraId="68475117">
      <w:pPr>
        <w:numPr>
          <w:ilvl w:val="0"/>
          <w:numId w:val="0"/>
        </w:numPr>
        <w:spacing w:line="324" w:lineRule="auto"/>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研究报告的类型及撰写步骤；论文的一般结构；写作的注意事项。</w:t>
      </w:r>
    </w:p>
    <w:p w14:paraId="4A9D4DA9">
      <w:pPr>
        <w:spacing w:line="324" w:lineRule="auto"/>
        <w:jc w:val="left"/>
        <w:rPr>
          <w:rFonts w:ascii="仿宋" w:hAnsi="仿宋" w:eastAsia="仿宋" w:cs="仿宋"/>
          <w:sz w:val="24"/>
          <w:szCs w:val="24"/>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51665A"/>
    <w:multiLevelType w:val="singleLevel"/>
    <w:tmpl w:val="F451665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YmJhNjFkYmIyZjExNzMwYThjOTI3MzYzZjhmMWZkZDAifQ=="/>
  </w:docVars>
  <w:rsids>
    <w:rsidRoot w:val="00F73A15"/>
    <w:rsid w:val="00002A5C"/>
    <w:rsid w:val="00006F1E"/>
    <w:rsid w:val="000142B9"/>
    <w:rsid w:val="00021372"/>
    <w:rsid w:val="00022A0F"/>
    <w:rsid w:val="0004471B"/>
    <w:rsid w:val="00053B9C"/>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0740E"/>
    <w:rsid w:val="001172ED"/>
    <w:rsid w:val="001423CE"/>
    <w:rsid w:val="001467C2"/>
    <w:rsid w:val="00147B67"/>
    <w:rsid w:val="0015224A"/>
    <w:rsid w:val="00153D62"/>
    <w:rsid w:val="001548B6"/>
    <w:rsid w:val="00155623"/>
    <w:rsid w:val="00155CF3"/>
    <w:rsid w:val="0016195D"/>
    <w:rsid w:val="0016247E"/>
    <w:rsid w:val="00164C02"/>
    <w:rsid w:val="00171D4D"/>
    <w:rsid w:val="0017335F"/>
    <w:rsid w:val="00182826"/>
    <w:rsid w:val="0018386E"/>
    <w:rsid w:val="00187CF5"/>
    <w:rsid w:val="001962B0"/>
    <w:rsid w:val="00196325"/>
    <w:rsid w:val="00196F51"/>
    <w:rsid w:val="001A4BF1"/>
    <w:rsid w:val="001A673C"/>
    <w:rsid w:val="001A7371"/>
    <w:rsid w:val="001B3E6A"/>
    <w:rsid w:val="001C1D30"/>
    <w:rsid w:val="001D3B16"/>
    <w:rsid w:val="001D4033"/>
    <w:rsid w:val="001E0818"/>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CBE"/>
    <w:rsid w:val="00263DF5"/>
    <w:rsid w:val="00264088"/>
    <w:rsid w:val="002712E6"/>
    <w:rsid w:val="002734DC"/>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3593"/>
    <w:rsid w:val="003B04F8"/>
    <w:rsid w:val="003B1FB2"/>
    <w:rsid w:val="003B702F"/>
    <w:rsid w:val="003C02F2"/>
    <w:rsid w:val="003C4A1C"/>
    <w:rsid w:val="003D0AE7"/>
    <w:rsid w:val="003D478A"/>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2B27"/>
    <w:rsid w:val="0048594F"/>
    <w:rsid w:val="004942D7"/>
    <w:rsid w:val="004963E7"/>
    <w:rsid w:val="004B38BC"/>
    <w:rsid w:val="004B5C0D"/>
    <w:rsid w:val="004C03FB"/>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E7156"/>
    <w:rsid w:val="005F2B82"/>
    <w:rsid w:val="005F35D5"/>
    <w:rsid w:val="0060054D"/>
    <w:rsid w:val="00607AFF"/>
    <w:rsid w:val="006101CB"/>
    <w:rsid w:val="0061101F"/>
    <w:rsid w:val="00615EAA"/>
    <w:rsid w:val="00616111"/>
    <w:rsid w:val="0061638E"/>
    <w:rsid w:val="00622F14"/>
    <w:rsid w:val="00623D87"/>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3E2C"/>
    <w:rsid w:val="007558AF"/>
    <w:rsid w:val="00760E7E"/>
    <w:rsid w:val="0076678C"/>
    <w:rsid w:val="0077013C"/>
    <w:rsid w:val="00772EBC"/>
    <w:rsid w:val="00782806"/>
    <w:rsid w:val="0078520F"/>
    <w:rsid w:val="007861F9"/>
    <w:rsid w:val="007875D3"/>
    <w:rsid w:val="007923EC"/>
    <w:rsid w:val="00792DF7"/>
    <w:rsid w:val="00797BCE"/>
    <w:rsid w:val="007B1F4B"/>
    <w:rsid w:val="007B5252"/>
    <w:rsid w:val="007B5B1B"/>
    <w:rsid w:val="007B5E20"/>
    <w:rsid w:val="007C15FA"/>
    <w:rsid w:val="007C5D9D"/>
    <w:rsid w:val="007C67C1"/>
    <w:rsid w:val="007E2CF2"/>
    <w:rsid w:val="007F6A41"/>
    <w:rsid w:val="008034E7"/>
    <w:rsid w:val="0080549B"/>
    <w:rsid w:val="00810912"/>
    <w:rsid w:val="00826E54"/>
    <w:rsid w:val="0083460B"/>
    <w:rsid w:val="008375AE"/>
    <w:rsid w:val="008376DF"/>
    <w:rsid w:val="0084396E"/>
    <w:rsid w:val="00847B8E"/>
    <w:rsid w:val="00850FC0"/>
    <w:rsid w:val="00851026"/>
    <w:rsid w:val="00852944"/>
    <w:rsid w:val="00862F40"/>
    <w:rsid w:val="008656DD"/>
    <w:rsid w:val="00871C4B"/>
    <w:rsid w:val="00876237"/>
    <w:rsid w:val="00884D4D"/>
    <w:rsid w:val="00887440"/>
    <w:rsid w:val="00890559"/>
    <w:rsid w:val="0089297C"/>
    <w:rsid w:val="0089354A"/>
    <w:rsid w:val="008936E4"/>
    <w:rsid w:val="0089783C"/>
    <w:rsid w:val="00897F88"/>
    <w:rsid w:val="008A237D"/>
    <w:rsid w:val="008A4A04"/>
    <w:rsid w:val="008A6ADA"/>
    <w:rsid w:val="008C1DA9"/>
    <w:rsid w:val="008C74CE"/>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04BD0"/>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2CC0"/>
    <w:rsid w:val="00A83CB7"/>
    <w:rsid w:val="00A8543B"/>
    <w:rsid w:val="00A86A51"/>
    <w:rsid w:val="00A9522C"/>
    <w:rsid w:val="00AA7A36"/>
    <w:rsid w:val="00AB682D"/>
    <w:rsid w:val="00AC3AEA"/>
    <w:rsid w:val="00AC6EE3"/>
    <w:rsid w:val="00AD0F3E"/>
    <w:rsid w:val="00AD195D"/>
    <w:rsid w:val="00AD6852"/>
    <w:rsid w:val="00AE627C"/>
    <w:rsid w:val="00AE64A4"/>
    <w:rsid w:val="00AF3549"/>
    <w:rsid w:val="00AF78A7"/>
    <w:rsid w:val="00B33CC6"/>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4F34"/>
    <w:rsid w:val="00C35D66"/>
    <w:rsid w:val="00C37719"/>
    <w:rsid w:val="00C606DC"/>
    <w:rsid w:val="00C731FB"/>
    <w:rsid w:val="00C73D3D"/>
    <w:rsid w:val="00C74BE9"/>
    <w:rsid w:val="00C819B3"/>
    <w:rsid w:val="00C85A5C"/>
    <w:rsid w:val="00C916F3"/>
    <w:rsid w:val="00C9349A"/>
    <w:rsid w:val="00C94F58"/>
    <w:rsid w:val="00CA18DC"/>
    <w:rsid w:val="00CB2F8F"/>
    <w:rsid w:val="00CB548E"/>
    <w:rsid w:val="00CB69F5"/>
    <w:rsid w:val="00CC3CD9"/>
    <w:rsid w:val="00CC52C9"/>
    <w:rsid w:val="00CC770B"/>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74897"/>
    <w:rsid w:val="00D8154A"/>
    <w:rsid w:val="00DA0716"/>
    <w:rsid w:val="00DB2642"/>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1DC2"/>
    <w:rsid w:val="00E64E87"/>
    <w:rsid w:val="00E65B23"/>
    <w:rsid w:val="00E70F16"/>
    <w:rsid w:val="00E7138A"/>
    <w:rsid w:val="00E74EE5"/>
    <w:rsid w:val="00E83972"/>
    <w:rsid w:val="00E916C8"/>
    <w:rsid w:val="00EA3F3C"/>
    <w:rsid w:val="00EB022D"/>
    <w:rsid w:val="00EB31EF"/>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3806F86"/>
    <w:rsid w:val="0BD240F7"/>
    <w:rsid w:val="0E7E366C"/>
    <w:rsid w:val="0EF16F8A"/>
    <w:rsid w:val="0FA84BE7"/>
    <w:rsid w:val="11DA5AB3"/>
    <w:rsid w:val="12747CB6"/>
    <w:rsid w:val="12795FF5"/>
    <w:rsid w:val="13517FF7"/>
    <w:rsid w:val="153876C0"/>
    <w:rsid w:val="16677B31"/>
    <w:rsid w:val="173B3498"/>
    <w:rsid w:val="1A2E4BEE"/>
    <w:rsid w:val="1FB42039"/>
    <w:rsid w:val="29E74DB9"/>
    <w:rsid w:val="2BA50A88"/>
    <w:rsid w:val="2E47051C"/>
    <w:rsid w:val="31540F86"/>
    <w:rsid w:val="32A73338"/>
    <w:rsid w:val="331D184C"/>
    <w:rsid w:val="339715FE"/>
    <w:rsid w:val="355B638F"/>
    <w:rsid w:val="362B4280"/>
    <w:rsid w:val="38022BDC"/>
    <w:rsid w:val="38ED1B69"/>
    <w:rsid w:val="40C43ACA"/>
    <w:rsid w:val="447A08AC"/>
    <w:rsid w:val="474B6530"/>
    <w:rsid w:val="4AA2290B"/>
    <w:rsid w:val="4C92075D"/>
    <w:rsid w:val="4F9C6D95"/>
    <w:rsid w:val="569F2DFD"/>
    <w:rsid w:val="57030BD5"/>
    <w:rsid w:val="578C4726"/>
    <w:rsid w:val="5ABC3575"/>
    <w:rsid w:val="5D78615F"/>
    <w:rsid w:val="5E1C432A"/>
    <w:rsid w:val="647C2A0E"/>
    <w:rsid w:val="66D41C46"/>
    <w:rsid w:val="6D3451EC"/>
    <w:rsid w:val="6E313E22"/>
    <w:rsid w:val="6ECD3B4B"/>
    <w:rsid w:val="6F0155A2"/>
    <w:rsid w:val="79A24EC6"/>
    <w:rsid w:val="7A3E5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字符"/>
    <w:link w:val="5"/>
    <w:qFormat/>
    <w:uiPriority w:val="0"/>
    <w:rPr>
      <w:kern w:val="2"/>
      <w:sz w:val="18"/>
      <w:szCs w:val="18"/>
    </w:rPr>
  </w:style>
  <w:style w:type="character" w:customStyle="1" w:styleId="11">
    <w:name w:val="页脚 字符"/>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字符"/>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1246</Words>
  <Characters>1275</Characters>
  <Lines>10</Lines>
  <Paragraphs>2</Paragraphs>
  <TotalTime>55</TotalTime>
  <ScaleCrop>false</ScaleCrop>
  <LinksUpToDate>false</LinksUpToDate>
  <CharactersWithSpaces>1345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2023-09-20T01:42:00Z</dcterms:created>
  <dc:creator>李丽兰</dc:creator>
  <cp:lastModifiedBy>宋江南</cp:lastModifiedBy>
  <cp:lastPrinted>2024-09-23T01:06:00Z</cp:lastPrinted>
  <dcterms:modified xsi:type="dcterms:W3CDTF">2025-09-30T02:11:28Z</dcterms:modified>
  <dc:title>关于编制2002年硕士研究生招生专业目录的通知</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54C19CBF49134330AE03214462CEE381</vt:lpwstr>
  </property>
  <property fmtid="{D5CDD505-2E9C-101B-9397-08002B2CF9AE}" pid="4" name="KSOTemplateDocerSaveRecord">
    <vt:lpwstr>eyJoZGlkIjoiM2QxOTExYWIyZjZjNzRmNTVjZTNmZjZmYTRkODBiMzYiLCJ1c2VySWQiOiIzNzc5ODQ5MDgifQ==</vt:lpwstr>
  </property>
</Properties>
</file>