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AA890">
      <w:pPr>
        <w:spacing w:before="240" w:beforeLines="100" w:after="240" w:afterLines="100" w:line="360" w:lineRule="auto"/>
        <w:jc w:val="center"/>
        <w:rPr>
          <w:rFonts w:hint="eastAsia" w:ascii="华文中宋" w:hAnsi="华文中宋" w:eastAsia="华文中宋"/>
          <w:b/>
          <w:color w:val="000000"/>
          <w:sz w:val="32"/>
          <w:szCs w:val="32"/>
        </w:rPr>
      </w:pPr>
    </w:p>
    <w:p w14:paraId="1095E226">
      <w:pPr>
        <w:spacing w:before="240" w:beforeLines="100" w:after="240" w:afterLines="100" w:line="360" w:lineRule="auto"/>
        <w:jc w:val="center"/>
        <w:rPr>
          <w:rFonts w:hint="eastAsia" w:ascii="华文中宋" w:hAnsi="华文中宋" w:eastAsia="华文中宋"/>
          <w:b/>
          <w:color w:val="000000"/>
          <w:sz w:val="32"/>
          <w:szCs w:val="32"/>
        </w:rPr>
      </w:pPr>
      <w:r>
        <w:rPr>
          <w:rFonts w:hint="eastAsia" w:ascii="华文中宋" w:hAnsi="华文中宋" w:eastAsia="华文中宋"/>
          <w:b/>
          <w:color w:val="000000"/>
          <w:sz w:val="32"/>
          <w:szCs w:val="32"/>
        </w:rPr>
        <w:t>202</w:t>
      </w:r>
      <w:r>
        <w:rPr>
          <w:rFonts w:hint="eastAsia" w:ascii="华文中宋" w:hAnsi="华文中宋" w:eastAsia="华文中宋"/>
          <w:b/>
          <w:color w:val="000000"/>
          <w:sz w:val="32"/>
          <w:szCs w:val="32"/>
          <w:lang w:val="en-US" w:eastAsia="zh-CN"/>
        </w:rPr>
        <w:t>6</w:t>
      </w:r>
      <w:r>
        <w:rPr>
          <w:rFonts w:hint="eastAsia" w:ascii="华文中宋" w:hAnsi="华文中宋" w:eastAsia="华文中宋"/>
          <w:b/>
          <w:color w:val="000000"/>
          <w:sz w:val="32"/>
          <w:szCs w:val="32"/>
        </w:rPr>
        <w:t>年全国硕士研究生招生考试食品卫生学</w:t>
      </w:r>
    </w:p>
    <w:p w14:paraId="2F0D41A9">
      <w:pPr>
        <w:spacing w:before="240" w:beforeLines="100" w:after="240" w:afterLines="100" w:line="360" w:lineRule="auto"/>
        <w:jc w:val="center"/>
        <w:rPr>
          <w:rFonts w:hint="eastAsia" w:ascii="华文中宋" w:hAnsi="华文中宋" w:eastAsia="华文中宋"/>
          <w:b/>
          <w:color w:val="000000"/>
          <w:sz w:val="32"/>
          <w:szCs w:val="32"/>
        </w:rPr>
      </w:pPr>
      <w:r>
        <w:rPr>
          <w:rFonts w:hint="eastAsia" w:ascii="华文中宋" w:hAnsi="华文中宋" w:eastAsia="华文中宋"/>
          <w:b/>
          <w:color w:val="000000"/>
          <w:sz w:val="32"/>
          <w:szCs w:val="32"/>
        </w:rPr>
        <w:t>考试大纲</w:t>
      </w:r>
    </w:p>
    <w:p w14:paraId="3FCECE6C">
      <w:pPr>
        <w:ind w:firstLine="482" w:firstLineChars="200"/>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Ⅰ．考试性质</w:t>
      </w:r>
    </w:p>
    <w:p w14:paraId="7622592C">
      <w:pPr>
        <w:rPr>
          <w:rFonts w:hint="eastAsia" w:ascii="方正仿宋_GB2312" w:hAnsi="方正仿宋_GB2312" w:eastAsia="方正仿宋_GB2312" w:cs="方正仿宋_GB2312"/>
          <w:sz w:val="24"/>
          <w:szCs w:val="24"/>
        </w:rPr>
      </w:pPr>
      <w:r>
        <w:rPr>
          <w:rFonts w:hint="eastAsia" w:cs="宋体"/>
        </w:rPr>
        <w:t>　</w:t>
      </w:r>
      <w:r>
        <w:t xml:space="preserve"> </w:t>
      </w:r>
      <w:r>
        <w:rPr>
          <w:rFonts w:hint="eastAsia" w:cs="宋体"/>
        </w:rPr>
        <w:t>　</w:t>
      </w:r>
      <w:r>
        <w:rPr>
          <w:rFonts w:hint="eastAsia" w:ascii="方正仿宋_GB2312" w:hAnsi="方正仿宋_GB2312" w:eastAsia="方正仿宋_GB2312" w:cs="方正仿宋_GB2312"/>
          <w:sz w:val="24"/>
          <w:szCs w:val="24"/>
        </w:rPr>
        <w:t>食品卫生学考试是为高等院校和科研院所招收硕士研究生而设置的具有选拔性质的全国招生考试科目，其目的是科学、公平、有效地测试考生掌握大学本科阶段食品卫生学的基本知识、基本理论，以及运用食品卫生学的基本原理和方法分析和解决问题的能力，评价的标准是高等学校本科毕业生能达到的及格或及格以上水平，以保证被录取者具有食品卫生学的知识，并有利于各高等院校和科研院所在专业上择优选拔。</w:t>
      </w:r>
    </w:p>
    <w:p w14:paraId="0A9A4F98">
      <w:pPr>
        <w:ind w:firstLine="482" w:firstLineChars="200"/>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Ⅱ．考查目标</w:t>
      </w:r>
    </w:p>
    <w:p w14:paraId="1522B2BA">
      <w:pPr>
        <w:rPr>
          <w:rFonts w:hint="eastAsia" w:ascii="方正仿宋_GB2312" w:hAnsi="方正仿宋_GB2312" w:eastAsia="方正仿宋_GB2312" w:cs="方正仿宋_GB2312"/>
          <w:sz w:val="24"/>
          <w:szCs w:val="24"/>
        </w:rPr>
      </w:pPr>
      <w:r>
        <w:rPr>
          <w:rFonts w:hint="eastAsia" w:cs="宋体"/>
        </w:rPr>
        <w:t>　　</w:t>
      </w:r>
      <w:r>
        <w:rPr>
          <w:rFonts w:hint="eastAsia" w:ascii="方正仿宋_GB2312" w:hAnsi="方正仿宋_GB2312" w:eastAsia="方正仿宋_GB2312" w:cs="方正仿宋_GB2312"/>
          <w:sz w:val="24"/>
          <w:szCs w:val="24"/>
        </w:rPr>
        <w:t>食品卫生学考试涵盖</w:t>
      </w:r>
      <w:r>
        <w:rPr>
          <w:rFonts w:hint="eastAsia" w:ascii="方正仿宋_GB2312" w:hAnsi="方正仿宋_GB2312" w:eastAsia="方正仿宋_GB2312" w:cs="方正仿宋_GB2312"/>
          <w:sz w:val="24"/>
          <w:szCs w:val="24"/>
          <w:lang w:val="en-US" w:eastAsia="zh-CN"/>
        </w:rPr>
        <w:t>食品卫生学概述、</w:t>
      </w:r>
      <w:r>
        <w:rPr>
          <w:rFonts w:hint="eastAsia" w:ascii="方正仿宋_GB2312" w:hAnsi="方正仿宋_GB2312" w:eastAsia="方正仿宋_GB2312" w:cs="方正仿宋_GB2312"/>
          <w:sz w:val="24"/>
          <w:szCs w:val="24"/>
        </w:rPr>
        <w:t>食品的生物性污染、食品的化学性污染、食品添加剂</w:t>
      </w:r>
      <w:r>
        <w:rPr>
          <w:rFonts w:hint="eastAsia" w:ascii="方正仿宋_GB2312" w:hAnsi="方正仿宋_GB2312" w:eastAsia="方正仿宋_GB2312" w:cs="方正仿宋_GB2312"/>
          <w:sz w:val="24"/>
          <w:szCs w:val="24"/>
          <w:lang w:val="en-US" w:eastAsia="zh-CN"/>
        </w:rPr>
        <w:t>及其卫生管理</w:t>
      </w:r>
      <w:r>
        <w:rPr>
          <w:rFonts w:hint="eastAsia" w:ascii="方正仿宋_GB2312" w:hAnsi="方正仿宋_GB2312" w:eastAsia="方正仿宋_GB2312" w:cs="方正仿宋_GB2312"/>
          <w:sz w:val="24"/>
          <w:szCs w:val="24"/>
        </w:rPr>
        <w:t>、各类食品的卫生、</w:t>
      </w:r>
      <w:r>
        <w:rPr>
          <w:rFonts w:hint="eastAsia" w:ascii="方正仿宋_GB2312" w:hAnsi="方正仿宋_GB2312" w:eastAsia="方正仿宋_GB2312" w:cs="方正仿宋_GB2312"/>
          <w:sz w:val="24"/>
          <w:szCs w:val="24"/>
          <w:lang w:val="en-US" w:eastAsia="zh-CN"/>
        </w:rPr>
        <w:t>食源性疾病</w:t>
      </w:r>
      <w:r>
        <w:rPr>
          <w:rFonts w:hint="eastAsia" w:ascii="方正仿宋_GB2312" w:hAnsi="方正仿宋_GB2312" w:eastAsia="方正仿宋_GB2312" w:cs="方正仿宋_GB2312"/>
          <w:sz w:val="24"/>
          <w:szCs w:val="24"/>
        </w:rPr>
        <w:t>及其预防、转基因食品及其他新技术食品的卫生</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食品安全性评价</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食品</w:t>
      </w:r>
      <w:r>
        <w:rPr>
          <w:rFonts w:hint="eastAsia" w:ascii="方正仿宋_GB2312" w:hAnsi="方正仿宋_GB2312" w:eastAsia="方正仿宋_GB2312" w:cs="方正仿宋_GB2312"/>
          <w:sz w:val="24"/>
          <w:szCs w:val="24"/>
          <w:lang w:val="en-US" w:eastAsia="zh-CN"/>
        </w:rPr>
        <w:t>安全监督</w:t>
      </w:r>
      <w:r>
        <w:rPr>
          <w:rFonts w:hint="eastAsia" w:ascii="方正仿宋_GB2312" w:hAnsi="方正仿宋_GB2312" w:eastAsia="方正仿宋_GB2312" w:cs="方正仿宋_GB2312"/>
          <w:sz w:val="24"/>
          <w:szCs w:val="24"/>
        </w:rPr>
        <w:t>管理。要求考生：</w:t>
      </w:r>
    </w:p>
    <w:p w14:paraId="12150414">
      <w:pP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1．准确地食品卫生学的有关知识。</w:t>
      </w:r>
    </w:p>
    <w:p w14:paraId="49F0175C">
      <w:pP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2．准确、恰当地使用本学科的专业术语，正确理解和掌握学科的有关范畴、规律和技术。</w:t>
      </w:r>
    </w:p>
    <w:p w14:paraId="4F3BA709">
      <w:pP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3．运用有关原理，解释和论证食品加工生产的</w:t>
      </w:r>
      <w:r>
        <w:rPr>
          <w:rFonts w:hint="eastAsia" w:ascii="方正仿宋_GB2312" w:hAnsi="方正仿宋_GB2312" w:eastAsia="方正仿宋_GB2312" w:cs="方正仿宋_GB2312"/>
          <w:sz w:val="24"/>
          <w:szCs w:val="24"/>
          <w:lang w:val="en-US" w:eastAsia="zh-CN"/>
        </w:rPr>
        <w:t>卫生</w:t>
      </w:r>
      <w:r>
        <w:rPr>
          <w:rFonts w:hint="eastAsia" w:ascii="方正仿宋_GB2312" w:hAnsi="方正仿宋_GB2312" w:eastAsia="方正仿宋_GB2312" w:cs="方正仿宋_GB2312"/>
          <w:sz w:val="24"/>
          <w:szCs w:val="24"/>
        </w:rPr>
        <w:t>问题。</w:t>
      </w:r>
    </w:p>
    <w:p w14:paraId="284E9DE6">
      <w:pPr>
        <w:ind w:firstLine="420"/>
      </w:pPr>
      <w:r>
        <w:rPr>
          <w:rFonts w:hint="eastAsia" w:cs="宋体"/>
        </w:rPr>
        <w:t>　　</w:t>
      </w:r>
    </w:p>
    <w:p w14:paraId="46D5735A">
      <w:pPr>
        <w:ind w:firstLine="482" w:firstLineChars="200"/>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Ⅲ．考试形式和试卷结构</w:t>
      </w:r>
    </w:p>
    <w:p w14:paraId="0D21D037">
      <w:pPr>
        <w:rPr>
          <w:rFonts w:hint="eastAsia" w:ascii="方正仿宋_GB2312" w:hAnsi="方正仿宋_GB2312" w:eastAsia="方正仿宋_GB2312" w:cs="方正仿宋_GB2312"/>
          <w:b/>
          <w:bCs/>
          <w:sz w:val="24"/>
          <w:szCs w:val="24"/>
        </w:rPr>
      </w:pPr>
      <w:r>
        <w:rPr>
          <w:rFonts w:hint="eastAsia" w:cs="宋体"/>
        </w:rPr>
        <w:t>　　</w:t>
      </w:r>
      <w:r>
        <w:rPr>
          <w:rFonts w:hint="eastAsia" w:ascii="方正仿宋_GB2312" w:hAnsi="方正仿宋_GB2312" w:eastAsia="方正仿宋_GB2312" w:cs="方正仿宋_GB2312"/>
          <w:b/>
          <w:bCs/>
          <w:sz w:val="24"/>
          <w:szCs w:val="24"/>
        </w:rPr>
        <w:t>一、试卷满分及考试时间</w:t>
      </w:r>
    </w:p>
    <w:p w14:paraId="2CF9801D">
      <w:r>
        <w:rPr>
          <w:rFonts w:hint="eastAsia" w:cs="宋体"/>
        </w:rPr>
        <w:t>　　</w:t>
      </w:r>
      <w:r>
        <w:rPr>
          <w:rFonts w:hint="eastAsia" w:ascii="方正仿宋_GB2312" w:hAnsi="方正仿宋_GB2312" w:eastAsia="方正仿宋_GB2312" w:cs="方正仿宋_GB2312"/>
          <w:sz w:val="24"/>
          <w:szCs w:val="24"/>
        </w:rPr>
        <w:t>本试卷满分为50分，考试时间为60分钟</w:t>
      </w:r>
      <w:r>
        <w:rPr>
          <w:rFonts w:hint="eastAsia" w:cs="宋体"/>
        </w:rPr>
        <w:t>。</w:t>
      </w:r>
    </w:p>
    <w:p w14:paraId="2F1A41FE">
      <w:pPr>
        <w:rPr>
          <w:rFonts w:hint="eastAsia" w:ascii="方正仿宋_GB2312" w:hAnsi="方正仿宋_GB2312" w:eastAsia="方正仿宋_GB2312" w:cs="方正仿宋_GB2312"/>
          <w:b/>
          <w:bCs/>
          <w:sz w:val="24"/>
          <w:szCs w:val="24"/>
        </w:rPr>
      </w:pPr>
      <w:r>
        <w:rPr>
          <w:rFonts w:hint="eastAsia" w:cs="宋体"/>
        </w:rPr>
        <w:t>　　</w:t>
      </w:r>
      <w:r>
        <w:rPr>
          <w:rFonts w:hint="eastAsia" w:ascii="方正仿宋_GB2312" w:hAnsi="方正仿宋_GB2312" w:eastAsia="方正仿宋_GB2312" w:cs="方正仿宋_GB2312"/>
          <w:b/>
          <w:bCs/>
          <w:sz w:val="24"/>
          <w:szCs w:val="24"/>
        </w:rPr>
        <w:t>二、答题方式</w:t>
      </w:r>
    </w:p>
    <w:p w14:paraId="61C46921">
      <w:pPr>
        <w:rPr>
          <w:rFonts w:hint="eastAsia" w:ascii="方正仿宋_GB2312" w:hAnsi="方正仿宋_GB2312" w:eastAsia="方正仿宋_GB2312" w:cs="方正仿宋_GB2312"/>
          <w:sz w:val="24"/>
          <w:szCs w:val="24"/>
        </w:rPr>
      </w:pPr>
      <w:r>
        <w:rPr>
          <w:rFonts w:hint="eastAsia" w:cs="宋体"/>
        </w:rPr>
        <w:t>　　</w:t>
      </w:r>
      <w:r>
        <w:rPr>
          <w:rFonts w:hint="eastAsia" w:ascii="方正仿宋_GB2312" w:hAnsi="方正仿宋_GB2312" w:eastAsia="方正仿宋_GB2312" w:cs="方正仿宋_GB2312"/>
          <w:sz w:val="24"/>
          <w:szCs w:val="24"/>
        </w:rPr>
        <w:t>答题方式为闭卷、笔试。</w:t>
      </w:r>
    </w:p>
    <w:p w14:paraId="5A0D5F35">
      <w:pPr>
        <w:rPr>
          <w:rFonts w:hint="eastAsia" w:ascii="方正仿宋_GB2312" w:hAnsi="方正仿宋_GB2312" w:eastAsia="方正仿宋_GB2312" w:cs="方正仿宋_GB2312"/>
          <w:b/>
          <w:bCs/>
          <w:sz w:val="24"/>
          <w:szCs w:val="24"/>
        </w:rPr>
      </w:pPr>
      <w:r>
        <w:rPr>
          <w:rFonts w:hint="eastAsia" w:cs="宋体"/>
        </w:rPr>
        <w:t>　　</w:t>
      </w:r>
      <w:r>
        <w:rPr>
          <w:rFonts w:hint="eastAsia" w:ascii="方正仿宋_GB2312" w:hAnsi="方正仿宋_GB2312" w:eastAsia="方正仿宋_GB2312" w:cs="方正仿宋_GB2312"/>
          <w:b/>
          <w:bCs/>
          <w:sz w:val="24"/>
          <w:szCs w:val="24"/>
        </w:rPr>
        <w:t>三、试卷内容结构</w:t>
      </w:r>
    </w:p>
    <w:p w14:paraId="7572A0F9">
      <w:pPr>
        <w:rPr>
          <w:rFonts w:hint="eastAsia" w:ascii="方正仿宋_GB2312" w:hAnsi="方正仿宋_GB2312" w:eastAsia="方正仿宋_GB2312" w:cs="方正仿宋_GB2312"/>
          <w:sz w:val="24"/>
          <w:szCs w:val="24"/>
        </w:rPr>
      </w:pPr>
      <w:r>
        <w:rPr>
          <w:rFonts w:hint="eastAsia" w:cs="宋体"/>
        </w:rPr>
        <w:t>　　</w:t>
      </w:r>
      <w:r>
        <w:rPr>
          <w:rFonts w:hint="eastAsia" w:ascii="方正仿宋_GB2312" w:hAnsi="方正仿宋_GB2312" w:eastAsia="方正仿宋_GB2312" w:cs="方正仿宋_GB2312"/>
          <w:sz w:val="24"/>
          <w:szCs w:val="24"/>
        </w:rPr>
        <w:t>食品卫生</w:t>
      </w:r>
      <w:r>
        <w:rPr>
          <w:rFonts w:hint="eastAsia" w:ascii="方正仿宋_GB2312" w:hAnsi="方正仿宋_GB2312" w:eastAsia="方正仿宋_GB2312" w:cs="方正仿宋_GB2312"/>
          <w:sz w:val="24"/>
          <w:szCs w:val="24"/>
          <w:lang w:val="en-US" w:eastAsia="zh-CN"/>
        </w:rPr>
        <w:t>学</w:t>
      </w:r>
      <w:r>
        <w:rPr>
          <w:rFonts w:hint="eastAsia" w:ascii="方正仿宋_GB2312" w:hAnsi="方正仿宋_GB2312" w:eastAsia="方正仿宋_GB2312" w:cs="方正仿宋_GB2312"/>
          <w:sz w:val="24"/>
          <w:szCs w:val="24"/>
        </w:rPr>
        <w:t>概论约10%</w:t>
      </w:r>
    </w:p>
    <w:p w14:paraId="7253F01F">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食品的各类污染</w:t>
      </w:r>
      <w:r>
        <w:rPr>
          <w:rFonts w:hint="eastAsia" w:ascii="方正仿宋_GB2312" w:hAnsi="方正仿宋_GB2312" w:eastAsia="方正仿宋_GB2312" w:cs="方正仿宋_GB2312"/>
          <w:sz w:val="24"/>
          <w:szCs w:val="24"/>
          <w:lang w:val="en-US" w:eastAsia="zh-CN"/>
        </w:rPr>
        <w:t>约</w:t>
      </w:r>
      <w:r>
        <w:rPr>
          <w:rFonts w:hint="eastAsia" w:ascii="方正仿宋_GB2312" w:hAnsi="方正仿宋_GB2312" w:eastAsia="方正仿宋_GB2312" w:cs="方正仿宋_GB2312"/>
          <w:sz w:val="24"/>
          <w:szCs w:val="24"/>
        </w:rPr>
        <w:t xml:space="preserve"> 20%</w:t>
      </w:r>
    </w:p>
    <w:p w14:paraId="3612708E">
      <w:pPr>
        <w:ind w:firstLine="480" w:firstLineChars="200"/>
        <w:rPr>
          <w:rFonts w:hint="default" w:ascii="方正仿宋_GB2312" w:hAnsi="方正仿宋_GB2312" w:eastAsia="方正仿宋_GB2312" w:cs="方正仿宋_GB2312"/>
          <w:sz w:val="24"/>
          <w:szCs w:val="24"/>
          <w:lang w:val="en-US"/>
        </w:rPr>
      </w:pPr>
      <w:r>
        <w:rPr>
          <w:rFonts w:hint="eastAsia" w:ascii="方正仿宋_GB2312" w:hAnsi="方正仿宋_GB2312" w:eastAsia="方正仿宋_GB2312" w:cs="方正仿宋_GB2312"/>
          <w:sz w:val="24"/>
          <w:szCs w:val="24"/>
        </w:rPr>
        <w:t>食品添加剂</w:t>
      </w:r>
      <w:r>
        <w:rPr>
          <w:rFonts w:hint="eastAsia" w:ascii="方正仿宋_GB2312" w:hAnsi="方正仿宋_GB2312" w:eastAsia="方正仿宋_GB2312" w:cs="方正仿宋_GB2312"/>
          <w:sz w:val="24"/>
          <w:szCs w:val="24"/>
          <w:lang w:val="en-US" w:eastAsia="zh-CN"/>
        </w:rPr>
        <w:t>及其卫生管理约10%</w:t>
      </w:r>
    </w:p>
    <w:p w14:paraId="73A626C2">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各类食品的卫生约20%</w:t>
      </w:r>
    </w:p>
    <w:p w14:paraId="2E49E066">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食</w:t>
      </w:r>
      <w:r>
        <w:rPr>
          <w:rFonts w:hint="eastAsia" w:ascii="方正仿宋_GB2312" w:hAnsi="方正仿宋_GB2312" w:eastAsia="方正仿宋_GB2312" w:cs="方正仿宋_GB2312"/>
          <w:sz w:val="24"/>
          <w:szCs w:val="24"/>
          <w:lang w:val="en-US" w:eastAsia="zh-CN"/>
        </w:rPr>
        <w:t>源性疾病</w:t>
      </w:r>
      <w:r>
        <w:rPr>
          <w:rFonts w:hint="eastAsia" w:ascii="方正仿宋_GB2312" w:hAnsi="方正仿宋_GB2312" w:eastAsia="方正仿宋_GB2312" w:cs="方正仿宋_GB2312"/>
          <w:sz w:val="24"/>
          <w:szCs w:val="24"/>
        </w:rPr>
        <w:t>及其预防约</w:t>
      </w:r>
      <w:r>
        <w:rPr>
          <w:rFonts w:hint="eastAsia" w:ascii="方正仿宋_GB2312" w:hAnsi="方正仿宋_GB2312" w:eastAsia="方正仿宋_GB2312" w:cs="方正仿宋_GB2312"/>
          <w:sz w:val="24"/>
          <w:szCs w:val="24"/>
          <w:lang w:val="en-US" w:eastAsia="zh-CN"/>
        </w:rPr>
        <w:t>1</w:t>
      </w:r>
      <w:r>
        <w:rPr>
          <w:rFonts w:hint="eastAsia" w:ascii="方正仿宋_GB2312" w:hAnsi="方正仿宋_GB2312" w:eastAsia="方正仿宋_GB2312" w:cs="方正仿宋_GB2312"/>
          <w:sz w:val="24"/>
          <w:szCs w:val="24"/>
        </w:rPr>
        <w:t>0%</w:t>
      </w:r>
    </w:p>
    <w:p w14:paraId="3A93F69D">
      <w:pPr>
        <w:ind w:firstLine="480" w:firstLineChars="200"/>
        <w:rPr>
          <w:rFonts w:hint="default"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rPr>
        <w:t>转基因食品及其他新技术食品的卫生</w:t>
      </w:r>
      <w:r>
        <w:rPr>
          <w:rFonts w:hint="eastAsia" w:ascii="方正仿宋_GB2312" w:hAnsi="方正仿宋_GB2312" w:eastAsia="方正仿宋_GB2312" w:cs="方正仿宋_GB2312"/>
          <w:sz w:val="24"/>
          <w:szCs w:val="24"/>
          <w:lang w:val="en-US" w:eastAsia="zh-CN"/>
        </w:rPr>
        <w:t>约10%</w:t>
      </w:r>
    </w:p>
    <w:p w14:paraId="6541CE1F">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食品安全性评价约1</w:t>
      </w:r>
      <w:r>
        <w:rPr>
          <w:rFonts w:hint="eastAsia" w:ascii="方正仿宋_GB2312" w:hAnsi="方正仿宋_GB2312" w:eastAsia="方正仿宋_GB2312" w:cs="方正仿宋_GB2312"/>
          <w:sz w:val="24"/>
          <w:szCs w:val="24"/>
          <w:lang w:val="en-US" w:eastAsia="zh-CN"/>
        </w:rPr>
        <w:t>0</w:t>
      </w:r>
      <w:r>
        <w:rPr>
          <w:rFonts w:hint="eastAsia" w:ascii="方正仿宋_GB2312" w:hAnsi="方正仿宋_GB2312" w:eastAsia="方正仿宋_GB2312" w:cs="方正仿宋_GB2312"/>
          <w:sz w:val="24"/>
          <w:szCs w:val="24"/>
        </w:rPr>
        <w:t>%</w:t>
      </w:r>
    </w:p>
    <w:p w14:paraId="49C5BE84">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食品</w:t>
      </w:r>
      <w:r>
        <w:rPr>
          <w:rFonts w:hint="eastAsia" w:ascii="方正仿宋_GB2312" w:hAnsi="方正仿宋_GB2312" w:eastAsia="方正仿宋_GB2312" w:cs="方正仿宋_GB2312"/>
          <w:sz w:val="24"/>
          <w:szCs w:val="24"/>
          <w:lang w:val="en-US" w:eastAsia="zh-CN"/>
        </w:rPr>
        <w:t>安全监督</w:t>
      </w:r>
      <w:r>
        <w:rPr>
          <w:rFonts w:hint="eastAsia" w:ascii="方正仿宋_GB2312" w:hAnsi="方正仿宋_GB2312" w:eastAsia="方正仿宋_GB2312" w:cs="方正仿宋_GB2312"/>
          <w:sz w:val="24"/>
          <w:szCs w:val="24"/>
        </w:rPr>
        <w:t>管理约1</w:t>
      </w:r>
      <w:r>
        <w:rPr>
          <w:rFonts w:hint="eastAsia" w:ascii="方正仿宋_GB2312" w:hAnsi="方正仿宋_GB2312" w:eastAsia="方正仿宋_GB2312" w:cs="方正仿宋_GB2312"/>
          <w:sz w:val="24"/>
          <w:szCs w:val="24"/>
          <w:lang w:val="en-US" w:eastAsia="zh-CN"/>
        </w:rPr>
        <w:t>0</w:t>
      </w:r>
      <w:r>
        <w:rPr>
          <w:rFonts w:hint="eastAsia" w:ascii="方正仿宋_GB2312" w:hAnsi="方正仿宋_GB2312" w:eastAsia="方正仿宋_GB2312" w:cs="方正仿宋_GB2312"/>
          <w:sz w:val="24"/>
          <w:szCs w:val="24"/>
        </w:rPr>
        <w:t xml:space="preserve">% </w:t>
      </w:r>
    </w:p>
    <w:p w14:paraId="1E0645ED">
      <w:pPr>
        <w:rPr>
          <w:rFonts w:hint="eastAsia" w:ascii="方正仿宋_GB2312" w:hAnsi="方正仿宋_GB2312" w:eastAsia="方正仿宋_GB2312" w:cs="方正仿宋_GB2312"/>
          <w:b/>
          <w:bCs/>
          <w:sz w:val="24"/>
          <w:szCs w:val="24"/>
        </w:rPr>
      </w:pPr>
      <w:r>
        <w:rPr>
          <w:rFonts w:hint="eastAsia" w:cs="宋体"/>
        </w:rPr>
        <w:t>　　</w:t>
      </w:r>
      <w:r>
        <w:rPr>
          <w:rFonts w:hint="eastAsia" w:ascii="方正仿宋_GB2312" w:hAnsi="方正仿宋_GB2312" w:eastAsia="方正仿宋_GB2312" w:cs="方正仿宋_GB2312"/>
          <w:b/>
          <w:bCs/>
          <w:sz w:val="24"/>
          <w:szCs w:val="24"/>
        </w:rPr>
        <w:t>四、试卷题型结构</w:t>
      </w:r>
    </w:p>
    <w:p w14:paraId="34D484B3">
      <w:pPr>
        <w:rPr>
          <w:rFonts w:hint="eastAsia" w:ascii="方正仿宋_GB2312" w:hAnsi="方正仿宋_GB2312" w:eastAsia="方正仿宋_GB2312" w:cs="方正仿宋_GB2312"/>
          <w:sz w:val="24"/>
          <w:szCs w:val="24"/>
        </w:rPr>
      </w:pPr>
      <w:r>
        <w:t>　　</w:t>
      </w:r>
      <w:r>
        <w:rPr>
          <w:rFonts w:hint="eastAsia" w:ascii="方正仿宋_GB2312" w:hAnsi="方正仿宋_GB2312" w:eastAsia="方正仿宋_GB2312" w:cs="方正仿宋_GB2312"/>
          <w:sz w:val="24"/>
          <w:szCs w:val="24"/>
        </w:rPr>
        <w:t xml:space="preserve">名词解释 （共计16分，每小题4分） </w:t>
      </w:r>
    </w:p>
    <w:p w14:paraId="053C0B5B">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问答题（共计18分，每小题6分）</w:t>
      </w:r>
    </w:p>
    <w:p w14:paraId="4318FA3D">
      <w:pPr>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论述题（16分）</w:t>
      </w:r>
    </w:p>
    <w:p w14:paraId="367177E3">
      <w:pPr>
        <w:ind w:firstLine="480" w:firstLineChars="200"/>
        <w:rPr>
          <w:rFonts w:hint="eastAsia" w:ascii="方正仿宋_GB2312" w:hAnsi="方正仿宋_GB2312" w:eastAsia="方正仿宋_GB2312" w:cs="方正仿宋_GB2312"/>
          <w:sz w:val="24"/>
          <w:szCs w:val="24"/>
        </w:rPr>
      </w:pPr>
    </w:p>
    <w:p w14:paraId="0E8DFCF4">
      <w:pPr>
        <w:ind w:firstLine="482" w:firstLineChars="200"/>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rPr>
        <w:t>Ⅳ．考查内容</w:t>
      </w:r>
    </w:p>
    <w:p w14:paraId="6DBB296B">
      <w:pPr>
        <w:numPr>
          <w:ilvl w:val="0"/>
          <w:numId w:val="1"/>
        </w:numPr>
        <w:jc w:val="center"/>
        <w:rPr>
          <w:rFonts w:hint="eastAsia" w:ascii="黑体" w:hAnsi="黑体" w:eastAsia="黑体" w:cs="黑体"/>
          <w:sz w:val="30"/>
          <w:szCs w:val="30"/>
        </w:rPr>
      </w:pPr>
      <w:r>
        <w:rPr>
          <w:rFonts w:hint="eastAsia" w:ascii="黑体" w:hAnsi="黑体" w:eastAsia="黑体" w:cs="黑体"/>
          <w:sz w:val="30"/>
          <w:szCs w:val="30"/>
        </w:rPr>
        <w:t>食品卫生</w:t>
      </w:r>
      <w:r>
        <w:rPr>
          <w:rFonts w:hint="eastAsia" w:ascii="黑体" w:hAnsi="黑体" w:eastAsia="黑体" w:cs="黑体"/>
          <w:sz w:val="30"/>
          <w:szCs w:val="30"/>
          <w:lang w:val="en-US" w:eastAsia="zh-CN"/>
        </w:rPr>
        <w:t>学</w:t>
      </w:r>
      <w:r>
        <w:rPr>
          <w:rFonts w:hint="eastAsia" w:ascii="黑体" w:hAnsi="黑体" w:eastAsia="黑体" w:cs="黑体"/>
          <w:sz w:val="30"/>
          <w:szCs w:val="30"/>
        </w:rPr>
        <w:t>概论</w:t>
      </w:r>
    </w:p>
    <w:p w14:paraId="06CB4AD7">
      <w:pPr>
        <w:numPr>
          <w:ilvl w:val="0"/>
          <w:numId w:val="2"/>
        </w:numPr>
        <w:jc w:val="both"/>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b/>
          <w:bCs/>
          <w:sz w:val="24"/>
          <w:szCs w:val="24"/>
          <w:lang w:val="en-US" w:eastAsia="zh-CN"/>
        </w:rPr>
        <w:t>概述</w:t>
      </w:r>
    </w:p>
    <w:p w14:paraId="4366B060">
      <w:pPr>
        <w:numPr>
          <w:ilvl w:val="0"/>
          <w:numId w:val="3"/>
        </w:numPr>
        <w:jc w:val="both"/>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食品卫生、食品安全的区别与联系。</w:t>
      </w:r>
    </w:p>
    <w:p w14:paraId="43DA7E4E">
      <w:pPr>
        <w:numPr>
          <w:ilvl w:val="0"/>
          <w:numId w:val="3"/>
        </w:numPr>
        <w:jc w:val="both"/>
        <w:rPr>
          <w:rFonts w:hint="default"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食品卫生学、食品营养学、食品毒理学的区别与联系。</w:t>
      </w:r>
    </w:p>
    <w:p w14:paraId="0CD5EBA7">
      <w:pPr>
        <w:numPr>
          <w:ilvl w:val="0"/>
          <w:numId w:val="0"/>
        </w:numPr>
        <w:jc w:val="both"/>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（二）食品卫生学的发展历史</w:t>
      </w:r>
    </w:p>
    <w:p w14:paraId="3B2EA7DD">
      <w:pPr>
        <w:numPr>
          <w:ilvl w:val="0"/>
          <w:numId w:val="0"/>
        </w:numPr>
        <w:jc w:val="both"/>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（三）食品卫生学的主要内容</w:t>
      </w:r>
    </w:p>
    <w:p w14:paraId="094B2D4B">
      <w:pPr>
        <w:numPr>
          <w:ilvl w:val="0"/>
          <w:numId w:val="0"/>
        </w:numPr>
        <w:jc w:val="both"/>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（四）我国食品卫生工作的成就</w:t>
      </w:r>
    </w:p>
    <w:p w14:paraId="1FBC0F70">
      <w:pPr>
        <w:numPr>
          <w:ilvl w:val="0"/>
          <w:numId w:val="1"/>
        </w:numPr>
        <w:jc w:val="center"/>
        <w:rPr>
          <w:rFonts w:hint="eastAsia" w:ascii="黑体" w:hAnsi="黑体" w:eastAsia="黑体" w:cs="黑体"/>
          <w:sz w:val="30"/>
          <w:szCs w:val="30"/>
        </w:rPr>
      </w:pPr>
      <w:r>
        <w:rPr>
          <w:rFonts w:hint="eastAsia" w:ascii="黑体" w:hAnsi="黑体" w:eastAsia="黑体" w:cs="黑体"/>
          <w:sz w:val="30"/>
          <w:szCs w:val="30"/>
        </w:rPr>
        <w:t>食品的各类污染</w:t>
      </w:r>
      <w:r>
        <w:rPr>
          <w:rFonts w:hint="eastAsia" w:ascii="黑体" w:hAnsi="黑体" w:eastAsia="黑体" w:cs="黑体"/>
          <w:sz w:val="30"/>
          <w:szCs w:val="30"/>
          <w:lang w:val="en-US" w:eastAsia="zh-CN"/>
        </w:rPr>
        <w:t xml:space="preserve"> </w:t>
      </w:r>
    </w:p>
    <w:p w14:paraId="2F9B11A4">
      <w:pPr>
        <w:numPr>
          <w:ilvl w:val="0"/>
          <w:numId w:val="0"/>
        </w:numPr>
        <w:jc w:val="both"/>
        <w:rPr>
          <w:rFonts w:hint="default" w:ascii="方正仿宋_GB2312" w:hAnsi="方正仿宋_GB2312" w:eastAsia="方正仿宋_GB2312" w:cs="方正仿宋_GB2312"/>
          <w:sz w:val="24"/>
          <w:szCs w:val="24"/>
          <w:lang w:val="en-US" w:eastAsia="zh-CN"/>
        </w:rPr>
      </w:pPr>
    </w:p>
    <w:p w14:paraId="6DC9388F">
      <w:pPr>
        <w:numPr>
          <w:ilvl w:val="0"/>
          <w:numId w:val="4"/>
        </w:numPr>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b/>
          <w:bCs/>
          <w:sz w:val="24"/>
          <w:szCs w:val="24"/>
          <w:lang w:eastAsia="zh-CN"/>
        </w:rPr>
        <w:t>食品的细菌污染、</w:t>
      </w:r>
      <w:r>
        <w:rPr>
          <w:rFonts w:hint="eastAsia" w:ascii="方正仿宋_GB2312" w:hAnsi="方正仿宋_GB2312" w:eastAsia="方正仿宋_GB2312" w:cs="方正仿宋_GB2312"/>
          <w:b/>
          <w:bCs/>
          <w:sz w:val="24"/>
          <w:szCs w:val="24"/>
          <w:lang w:val="en-US" w:eastAsia="zh-CN"/>
        </w:rPr>
        <w:t>真菌及真菌毒素污染、寄生虫污染</w:t>
      </w:r>
      <w:r>
        <w:rPr>
          <w:rFonts w:hint="eastAsia" w:ascii="方正仿宋_GB2312" w:hAnsi="方正仿宋_GB2312" w:eastAsia="方正仿宋_GB2312" w:cs="方正仿宋_GB2312"/>
          <w:b/>
          <w:bCs/>
          <w:sz w:val="24"/>
          <w:szCs w:val="24"/>
          <w:lang w:eastAsia="zh-CN"/>
        </w:rPr>
        <w:t>及其预防</w:t>
      </w:r>
      <w:r>
        <w:rPr>
          <w:rFonts w:hint="eastAsia" w:ascii="方正仿宋_GB2312" w:hAnsi="方正仿宋_GB2312" w:eastAsia="方正仿宋_GB2312" w:cs="方正仿宋_GB2312"/>
          <w:b/>
          <w:bCs/>
          <w:sz w:val="24"/>
          <w:szCs w:val="24"/>
          <w:lang w:eastAsia="zh-CN"/>
        </w:rPr>
        <w:br w:type="textWrapping"/>
      </w:r>
      <w:r>
        <w:rPr>
          <w:rFonts w:hint="eastAsia" w:ascii="方正仿宋_GB2312" w:hAnsi="方正仿宋_GB2312" w:eastAsia="方正仿宋_GB2312" w:cs="方正仿宋_GB2312"/>
          <w:sz w:val="24"/>
          <w:szCs w:val="24"/>
          <w:lang w:val="en-US" w:eastAsia="zh-CN"/>
        </w:rPr>
        <w:t>1</w:t>
      </w:r>
      <w:r>
        <w:rPr>
          <w:rFonts w:hint="eastAsia" w:ascii="方正仿宋_GB2312" w:hAnsi="方正仿宋_GB2312" w:eastAsia="方正仿宋_GB2312" w:cs="方正仿宋_GB2312"/>
          <w:sz w:val="24"/>
          <w:szCs w:val="24"/>
          <w:lang w:eastAsia="zh-CN"/>
        </w:rPr>
        <w:t>、食品细菌性污染的途径。污染食品的细菌。食品细菌性污染的检验及卫生学意义。霉菌与霉菌毒素概述。霉菌产毒的特点及条件。霉菌污染食品的卫生学意义。主要的霉菌毒素。宿主与寄生虫。食品污染寄生虫的卫生学意义。食源性寄生虫病的防治原则。污染食品的主要寄生虫。</w:t>
      </w:r>
    </w:p>
    <w:p w14:paraId="6B33831C">
      <w:pPr>
        <w:numPr>
          <w:ilvl w:val="0"/>
          <w:numId w:val="0"/>
        </w:numPr>
        <w:rPr>
          <w:rFonts w:hint="default"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2、</w:t>
      </w:r>
      <w:r>
        <w:rPr>
          <w:rFonts w:hint="eastAsia" w:ascii="方正仿宋_GB2312" w:hAnsi="方正仿宋_GB2312" w:eastAsia="方正仿宋_GB2312" w:cs="方正仿宋_GB2312"/>
          <w:sz w:val="24"/>
          <w:szCs w:val="24"/>
          <w:lang w:eastAsia="zh-CN"/>
        </w:rPr>
        <w:t>食品的腐败变质及预防措施。食品腐败变质与发酵的区别与联系。食品腐败变质的影响因素。不同性质的食品变质。不同类型食品中常见的微生物。食品腐败变质的卫生学意义。食品腐败变质的预防措施。</w:t>
      </w:r>
    </w:p>
    <w:p w14:paraId="732256DC">
      <w:pPr>
        <w:numPr>
          <w:ilvl w:val="0"/>
          <w:numId w:val="0"/>
        </w:numPr>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eastAsia="zh-CN"/>
        </w:rPr>
        <w:t>（</w:t>
      </w:r>
      <w:r>
        <w:rPr>
          <w:rFonts w:hint="eastAsia" w:ascii="方正仿宋_GB2312" w:hAnsi="方正仿宋_GB2312" w:eastAsia="方正仿宋_GB2312" w:cs="方正仿宋_GB2312"/>
          <w:b/>
          <w:bCs/>
          <w:sz w:val="24"/>
          <w:szCs w:val="24"/>
          <w:lang w:val="en-US" w:eastAsia="zh-CN"/>
        </w:rPr>
        <w:t>二</w:t>
      </w:r>
      <w:r>
        <w:rPr>
          <w:rFonts w:hint="eastAsia" w:ascii="方正仿宋_GB2312" w:hAnsi="方正仿宋_GB2312" w:eastAsia="方正仿宋_GB2312" w:cs="方正仿宋_GB2312"/>
          <w:b/>
          <w:bCs/>
          <w:sz w:val="24"/>
          <w:szCs w:val="24"/>
          <w:lang w:eastAsia="zh-CN"/>
        </w:rPr>
        <w:t>）食品化学污染以及预防</w:t>
      </w:r>
      <w:r>
        <w:rPr>
          <w:rFonts w:hint="eastAsia" w:ascii="方正仿宋_GB2312" w:hAnsi="方正仿宋_GB2312" w:eastAsia="方正仿宋_GB2312" w:cs="方正仿宋_GB2312"/>
          <w:b/>
          <w:bCs/>
          <w:sz w:val="24"/>
          <w:szCs w:val="24"/>
          <w:lang w:val="en-US" w:eastAsia="zh-CN"/>
        </w:rPr>
        <w:t xml:space="preserve">  </w:t>
      </w:r>
    </w:p>
    <w:p w14:paraId="5933CEFF">
      <w:pPr>
        <w:numPr>
          <w:ilvl w:val="0"/>
          <w:numId w:val="0"/>
        </w:numPr>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 xml:space="preserve">  农药、兽药、渔药残留及其预防。有害金属的污染及其预防。N-亚硝基化合物对食品的污染。多环芳烃化合物对食品的污染。杂环胺类化合物对食品的污染。二恶英对食品的污染。丙烯酰胺对食品的污染。氯丙醇对食品的污染。食品接触材料及制品的污染及其预防。</w:t>
      </w:r>
    </w:p>
    <w:p w14:paraId="50BAB2E8">
      <w:pPr>
        <w:numPr>
          <w:ilvl w:val="0"/>
          <w:numId w:val="4"/>
        </w:numPr>
        <w:ind w:left="0" w:leftChars="0" w:firstLine="0" w:firstLineChars="0"/>
        <w:rPr>
          <w:rFonts w:hint="eastAsia" w:ascii="方正仿宋_GB2312" w:hAnsi="方正仿宋_GB2312" w:eastAsia="方正仿宋_GB2312" w:cs="方正仿宋_GB2312"/>
          <w:b/>
          <w:bCs/>
          <w:sz w:val="24"/>
          <w:szCs w:val="24"/>
          <w:lang w:eastAsia="zh-CN"/>
        </w:rPr>
      </w:pPr>
      <w:r>
        <w:rPr>
          <w:rFonts w:hint="eastAsia" w:ascii="方正仿宋_GB2312" w:hAnsi="方正仿宋_GB2312" w:eastAsia="方正仿宋_GB2312" w:cs="方正仿宋_GB2312"/>
          <w:b/>
          <w:bCs/>
          <w:sz w:val="24"/>
          <w:szCs w:val="24"/>
          <w:lang w:eastAsia="zh-CN"/>
        </w:rPr>
        <w:t xml:space="preserve">食品生物性污染、食品化学性污染案例分析 </w:t>
      </w:r>
    </w:p>
    <w:p w14:paraId="478EF275">
      <w:pPr>
        <w:numPr>
          <w:ilvl w:val="0"/>
          <w:numId w:val="0"/>
        </w:numPr>
        <w:ind w:leftChars="0"/>
        <w:rPr>
          <w:rFonts w:hint="eastAsia" w:ascii="方正仿宋_GB2312" w:hAnsi="方正仿宋_GB2312" w:eastAsia="方正仿宋_GB2312" w:cs="方正仿宋_GB2312"/>
          <w:b/>
          <w:bCs/>
          <w:sz w:val="24"/>
          <w:szCs w:val="24"/>
          <w:lang w:eastAsia="zh-CN"/>
        </w:rPr>
      </w:pPr>
    </w:p>
    <w:p w14:paraId="1552A627">
      <w:pPr>
        <w:numPr>
          <w:ilvl w:val="0"/>
          <w:numId w:val="1"/>
        </w:numPr>
        <w:jc w:val="center"/>
        <w:rPr>
          <w:rFonts w:hint="default" w:ascii="黑体" w:hAnsi="黑体" w:eastAsia="黑体" w:cs="黑体"/>
          <w:sz w:val="30"/>
          <w:szCs w:val="30"/>
          <w:lang w:val="en-US"/>
        </w:rPr>
      </w:pPr>
      <w:r>
        <w:rPr>
          <w:rFonts w:hint="eastAsia" w:ascii="黑体" w:hAnsi="黑体" w:eastAsia="黑体" w:cs="黑体"/>
          <w:sz w:val="30"/>
          <w:szCs w:val="30"/>
        </w:rPr>
        <w:t>食品添加剂</w:t>
      </w:r>
      <w:r>
        <w:rPr>
          <w:rFonts w:hint="eastAsia" w:ascii="黑体" w:hAnsi="黑体" w:eastAsia="黑体" w:cs="黑体"/>
          <w:sz w:val="30"/>
          <w:szCs w:val="30"/>
          <w:lang w:val="en-US" w:eastAsia="zh-CN"/>
        </w:rPr>
        <w:t>及其卫生管理</w:t>
      </w:r>
    </w:p>
    <w:p w14:paraId="55BCC4B9">
      <w:pPr>
        <w:numPr>
          <w:ilvl w:val="0"/>
          <w:numId w:val="0"/>
        </w:numPr>
        <w:jc w:val="both"/>
        <w:rPr>
          <w:rFonts w:hint="default" w:ascii="黑体" w:hAnsi="黑体" w:eastAsia="黑体" w:cs="黑体"/>
          <w:sz w:val="30"/>
          <w:szCs w:val="30"/>
          <w:lang w:val="en-US"/>
        </w:rPr>
      </w:pPr>
    </w:p>
    <w:p w14:paraId="314158DC">
      <w:pPr>
        <w:numPr>
          <w:ilvl w:val="0"/>
          <w:numId w:val="0"/>
        </w:numPr>
        <w:ind w:leftChars="0"/>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（一）</w:t>
      </w:r>
      <w:r>
        <w:rPr>
          <w:rFonts w:hint="default" w:ascii="方正仿宋_GB2312" w:hAnsi="方正仿宋_GB2312" w:eastAsia="方正仿宋_GB2312" w:cs="方正仿宋_GB2312"/>
          <w:b/>
          <w:bCs/>
          <w:sz w:val="24"/>
          <w:szCs w:val="24"/>
          <w:lang w:val="en-US" w:eastAsia="zh-CN"/>
        </w:rPr>
        <w:t>食品添加剂的定义、分类，以及各国对食品添加剂的安全监管。</w:t>
      </w:r>
    </w:p>
    <w:p w14:paraId="3F4B6A5C">
      <w:pPr>
        <w:numPr>
          <w:ilvl w:val="0"/>
          <w:numId w:val="0"/>
        </w:numPr>
        <w:ind w:leftChars="0"/>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（二）</w:t>
      </w:r>
      <w:r>
        <w:rPr>
          <w:rFonts w:hint="default" w:ascii="方正仿宋_GB2312" w:hAnsi="方正仿宋_GB2312" w:eastAsia="方正仿宋_GB2312" w:cs="方正仿宋_GB2312"/>
          <w:b/>
          <w:bCs/>
          <w:sz w:val="24"/>
          <w:szCs w:val="24"/>
          <w:lang w:val="en-US" w:eastAsia="zh-CN"/>
        </w:rPr>
        <w:t>食品添加剂的使用原则与使用规定。</w:t>
      </w:r>
    </w:p>
    <w:p w14:paraId="4D131134">
      <w:pPr>
        <w:numPr>
          <w:ilvl w:val="0"/>
          <w:numId w:val="0"/>
        </w:numPr>
        <w:ind w:leftChars="0"/>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（三）</w:t>
      </w:r>
      <w:r>
        <w:rPr>
          <w:rFonts w:hint="default" w:ascii="方正仿宋_GB2312" w:hAnsi="方正仿宋_GB2312" w:eastAsia="方正仿宋_GB2312" w:cs="方正仿宋_GB2312"/>
          <w:b/>
          <w:bCs/>
          <w:sz w:val="24"/>
          <w:szCs w:val="24"/>
          <w:lang w:val="en-US" w:eastAsia="zh-CN"/>
        </w:rPr>
        <w:t>常见添加剂的安全性、使用范围和使用量。</w:t>
      </w:r>
    </w:p>
    <w:p w14:paraId="67D1ED99">
      <w:pPr>
        <w:numPr>
          <w:ilvl w:val="0"/>
          <w:numId w:val="0"/>
        </w:numPr>
        <w:ind w:leftChars="0"/>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（四）</w:t>
      </w:r>
      <w:r>
        <w:rPr>
          <w:rFonts w:hint="default" w:ascii="方正仿宋_GB2312" w:hAnsi="方正仿宋_GB2312" w:eastAsia="方正仿宋_GB2312" w:cs="方正仿宋_GB2312"/>
          <w:b/>
          <w:bCs/>
          <w:sz w:val="24"/>
          <w:szCs w:val="24"/>
          <w:lang w:val="en-US" w:eastAsia="zh-CN"/>
        </w:rPr>
        <w:t>常见的添加剂违规使用案例。</w:t>
      </w:r>
    </w:p>
    <w:p w14:paraId="30EBB70B">
      <w:pPr>
        <w:numPr>
          <w:ilvl w:val="0"/>
          <w:numId w:val="0"/>
        </w:numPr>
        <w:ind w:leftChars="0"/>
        <w:rPr>
          <w:rFonts w:hint="default" w:ascii="方正仿宋_GB2312" w:hAnsi="方正仿宋_GB2312" w:eastAsia="方正仿宋_GB2312" w:cs="方正仿宋_GB2312"/>
          <w:b/>
          <w:bCs/>
          <w:sz w:val="24"/>
          <w:szCs w:val="24"/>
          <w:lang w:val="en-US" w:eastAsia="zh-CN"/>
        </w:rPr>
      </w:pPr>
    </w:p>
    <w:p w14:paraId="5C45318C">
      <w:pPr>
        <w:numPr>
          <w:ilvl w:val="0"/>
          <w:numId w:val="0"/>
        </w:numPr>
        <w:ind w:leftChars="0"/>
        <w:jc w:val="center"/>
        <w:rPr>
          <w:rFonts w:hint="default" w:ascii="方正仿宋_GB2312" w:hAnsi="方正仿宋_GB2312" w:eastAsia="方正仿宋_GB2312" w:cs="方正仿宋_GB2312"/>
          <w:b/>
          <w:bCs/>
          <w:sz w:val="24"/>
          <w:szCs w:val="24"/>
          <w:lang w:val="en-US" w:eastAsia="zh-CN"/>
        </w:rPr>
      </w:pPr>
      <w:r>
        <w:rPr>
          <w:rFonts w:hint="eastAsia" w:ascii="黑体" w:hAnsi="黑体" w:eastAsia="黑体" w:cs="黑体"/>
          <w:sz w:val="30"/>
          <w:szCs w:val="30"/>
          <w:lang w:val="en-US" w:eastAsia="zh-CN"/>
        </w:rPr>
        <w:t>四、</w:t>
      </w:r>
      <w:r>
        <w:rPr>
          <w:rFonts w:hint="eastAsia" w:ascii="黑体" w:hAnsi="黑体" w:eastAsia="黑体" w:cs="黑体"/>
          <w:sz w:val="30"/>
          <w:szCs w:val="30"/>
        </w:rPr>
        <w:t>各类食品的卫生</w:t>
      </w:r>
    </w:p>
    <w:p w14:paraId="4A6CF539">
      <w:pPr>
        <w:ind w:firstLine="480" w:firstLineChars="200"/>
        <w:rPr>
          <w:rFonts w:hint="eastAsia" w:ascii="方正仿宋_GB2312" w:hAnsi="方正仿宋_GB2312" w:eastAsia="方正仿宋_GB2312" w:cs="方正仿宋_GB2312"/>
          <w:sz w:val="24"/>
          <w:szCs w:val="24"/>
        </w:rPr>
      </w:pPr>
    </w:p>
    <w:p w14:paraId="2336721C">
      <w:pPr>
        <w:numPr>
          <w:ilvl w:val="0"/>
          <w:numId w:val="5"/>
        </w:numPr>
        <w:ind w:left="-480" w:leftChars="0" w:firstLine="480" w:firstLineChars="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
          <w:bCs/>
          <w:sz w:val="24"/>
          <w:szCs w:val="24"/>
          <w:lang w:val="en-US" w:eastAsia="zh-CN"/>
        </w:rPr>
        <w:t>粮豆类的卫生及其管理</w:t>
      </w:r>
    </w:p>
    <w:p w14:paraId="28EAA88F">
      <w:pPr>
        <w:numPr>
          <w:ilvl w:val="0"/>
          <w:numId w:val="0"/>
        </w:numPr>
        <w:ind w:firstLine="480" w:firstLine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粮豆类的卫生问题</w:t>
      </w:r>
      <w:r>
        <w:rPr>
          <w:rFonts w:hint="eastAsia" w:ascii="方正仿宋_GB2312" w:hAnsi="方正仿宋_GB2312" w:eastAsia="方正仿宋_GB2312" w:cs="方正仿宋_GB2312"/>
          <w:sz w:val="24"/>
          <w:szCs w:val="24"/>
          <w:lang w:eastAsia="zh-CN"/>
        </w:rPr>
        <w:t>。粮豆类的卫生管理。</w:t>
      </w:r>
    </w:p>
    <w:p w14:paraId="7B47BEF1">
      <w:pPr>
        <w:numPr>
          <w:ilvl w:val="0"/>
          <w:numId w:val="5"/>
        </w:numPr>
        <w:ind w:left="-480" w:leftChars="0" w:firstLine="480" w:firstLineChars="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b/>
          <w:bCs/>
          <w:sz w:val="24"/>
          <w:szCs w:val="24"/>
          <w:lang w:val="en-US" w:eastAsia="zh-CN"/>
        </w:rPr>
        <w:t>蔬菜、水果类的卫生及其管理</w:t>
      </w:r>
    </w:p>
    <w:p w14:paraId="00D33F0D">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蔬菜、水果的卫生问题。蔬菜、水果类的卫生管理。</w:t>
      </w:r>
    </w:p>
    <w:p w14:paraId="167A746C">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肉类食品的卫生及其管理</w:t>
      </w:r>
    </w:p>
    <w:p w14:paraId="75B5FB8F">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畜禽肉及肉制品的安全与卫生。畜禽肉类食品的安全卫生管理。</w:t>
      </w:r>
    </w:p>
    <w:p w14:paraId="2EA39153">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乳及乳制品的卫生及其管理</w:t>
      </w:r>
    </w:p>
    <w:p w14:paraId="400B6FDB">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乳及乳制品的安全与卫生。乳类食品的安全卫生管理。</w:t>
      </w:r>
    </w:p>
    <w:p w14:paraId="75EFADCA">
      <w:pPr>
        <w:numPr>
          <w:ilvl w:val="0"/>
          <w:numId w:val="5"/>
        </w:numPr>
        <w:ind w:left="-480" w:leftChars="0" w:firstLine="480" w:firstLineChars="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b/>
          <w:bCs/>
          <w:sz w:val="24"/>
          <w:szCs w:val="24"/>
          <w:lang w:val="en-US" w:eastAsia="zh-CN"/>
        </w:rPr>
        <w:t>蛋类的卫生及其管理</w:t>
      </w:r>
    </w:p>
    <w:p w14:paraId="66CE622B">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蛋类食品的安全卫生问题。蛋类食品的安全卫生管理。</w:t>
      </w:r>
    </w:p>
    <w:p w14:paraId="1A852494">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食用油脂的卫生及其管理</w:t>
      </w:r>
    </w:p>
    <w:p w14:paraId="339AA585">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食用油脂的安全卫生问题。食用油脂的安全卫生管理。</w:t>
      </w:r>
    </w:p>
    <w:p w14:paraId="0DDAFC4D">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冷饮食品的卫生及管理</w:t>
      </w:r>
    </w:p>
    <w:p w14:paraId="67688E5F">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冷饮食品的安全卫生问题。冷饮食品的安全卫生管理。</w:t>
      </w:r>
    </w:p>
    <w:p w14:paraId="4A2C0702">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糕点、面包类食品的卫生及管理</w:t>
      </w:r>
    </w:p>
    <w:p w14:paraId="2AFEF327">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糕点、面包类食品的的安全卫生问题。糕点、面包类食品的的安全卫生管理。</w:t>
      </w:r>
    </w:p>
    <w:p w14:paraId="5DDCCC15">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方</w:t>
      </w:r>
      <w:r>
        <w:rPr>
          <w:rFonts w:hint="eastAsia" w:ascii="方正仿宋_GB2312" w:hAnsi="方正仿宋_GB2312" w:eastAsia="方正仿宋_GB2312" w:cs="方正仿宋_GB2312"/>
          <w:b/>
          <w:bCs/>
          <w:sz w:val="24"/>
          <w:szCs w:val="24"/>
          <w:lang w:val="en-US" w:eastAsia="zh-CN"/>
        </w:rPr>
        <w:t>便食品的卫生及其管理</w:t>
      </w:r>
    </w:p>
    <w:p w14:paraId="4CCBFD14">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方便食品的安全卫生问题。方便食品的安全卫生管理。</w:t>
      </w:r>
    </w:p>
    <w:p w14:paraId="7895A9EA">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酒类食品的卫生及其管理</w:t>
      </w:r>
    </w:p>
    <w:p w14:paraId="6A27AA90">
      <w:pPr>
        <w:numPr>
          <w:ilvl w:val="0"/>
          <w:numId w:val="0"/>
        </w:numPr>
        <w:ind w:leftChars="20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lang w:eastAsia="zh-CN"/>
        </w:rPr>
        <w:t>酒类的安全卫生问题。酒类食品的安全卫生管理。</w:t>
      </w:r>
      <w:bookmarkStart w:id="0" w:name="_GoBack"/>
      <w:bookmarkEnd w:id="0"/>
    </w:p>
    <w:p w14:paraId="35CF0A0E">
      <w:pPr>
        <w:numPr>
          <w:ilvl w:val="0"/>
          <w:numId w:val="5"/>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无公害、绿色、有机食品的卫生及其管理</w:t>
      </w:r>
    </w:p>
    <w:p w14:paraId="13E9AC1C">
      <w:pPr>
        <w:numPr>
          <w:ilvl w:val="0"/>
          <w:numId w:val="0"/>
        </w:numPr>
        <w:ind w:leftChars="200"/>
        <w:rPr>
          <w:rFonts w:hint="eastAsia" w:ascii="方正仿宋_GB2312" w:hAnsi="方正仿宋_GB2312" w:eastAsia="方正仿宋_GB2312" w:cs="方正仿宋_GB2312"/>
          <w:sz w:val="24"/>
          <w:szCs w:val="24"/>
          <w:lang w:eastAsia="zh-CN"/>
        </w:rPr>
      </w:pPr>
    </w:p>
    <w:p w14:paraId="084260BB">
      <w:pPr>
        <w:numPr>
          <w:ilvl w:val="0"/>
          <w:numId w:val="0"/>
        </w:numPr>
        <w:ind w:leftChars="0"/>
        <w:jc w:val="center"/>
        <w:rPr>
          <w:rFonts w:hint="eastAsia" w:ascii="方正仿宋_GB2312" w:hAnsi="方正仿宋_GB2312" w:eastAsia="方正仿宋_GB2312" w:cs="方正仿宋_GB2312"/>
          <w:sz w:val="24"/>
          <w:szCs w:val="24"/>
          <w:lang w:val="en-US" w:eastAsia="zh-CN"/>
        </w:rPr>
      </w:pPr>
      <w:r>
        <w:rPr>
          <w:rFonts w:hint="eastAsia" w:ascii="黑体" w:hAnsi="黑体" w:eastAsia="黑体" w:cs="黑体"/>
          <w:sz w:val="30"/>
          <w:szCs w:val="30"/>
          <w:lang w:val="en-US" w:eastAsia="zh-CN"/>
        </w:rPr>
        <w:t>四、</w:t>
      </w:r>
      <w:r>
        <w:rPr>
          <w:rFonts w:hint="eastAsia" w:ascii="黑体" w:hAnsi="黑体" w:eastAsia="黑体" w:cs="黑体"/>
          <w:sz w:val="30"/>
          <w:szCs w:val="30"/>
        </w:rPr>
        <w:t>食</w:t>
      </w:r>
      <w:r>
        <w:rPr>
          <w:rFonts w:hint="eastAsia" w:ascii="黑体" w:hAnsi="黑体" w:eastAsia="黑体" w:cs="黑体"/>
          <w:sz w:val="30"/>
          <w:szCs w:val="30"/>
          <w:lang w:val="en-US" w:eastAsia="zh-CN"/>
        </w:rPr>
        <w:t>源性疾病</w:t>
      </w:r>
      <w:r>
        <w:rPr>
          <w:rFonts w:hint="eastAsia" w:ascii="黑体" w:hAnsi="黑体" w:eastAsia="黑体" w:cs="黑体"/>
          <w:sz w:val="30"/>
          <w:szCs w:val="30"/>
        </w:rPr>
        <w:t>及其预防</w:t>
      </w:r>
    </w:p>
    <w:p w14:paraId="0BD4FA6E">
      <w:pPr>
        <w:numPr>
          <w:ilvl w:val="0"/>
          <w:numId w:val="0"/>
        </w:numPr>
        <w:ind w:leftChars="0"/>
        <w:jc w:val="both"/>
        <w:rPr>
          <w:rFonts w:hint="eastAsia" w:ascii="方正仿宋_GB2312" w:hAnsi="方正仿宋_GB2312" w:eastAsia="方正仿宋_GB2312" w:cs="方正仿宋_GB2312"/>
          <w:sz w:val="24"/>
          <w:szCs w:val="24"/>
          <w:lang w:val="en-US" w:eastAsia="zh-CN"/>
        </w:rPr>
      </w:pPr>
    </w:p>
    <w:p w14:paraId="2A5BAEF4">
      <w:pPr>
        <w:numPr>
          <w:ilvl w:val="0"/>
          <w:numId w:val="0"/>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（一）食源性疾病概述</w:t>
      </w:r>
    </w:p>
    <w:p w14:paraId="1710483B">
      <w:pPr>
        <w:numPr>
          <w:ilvl w:val="0"/>
          <w:numId w:val="0"/>
        </w:numPr>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（二）食物中毒及其预防</w:t>
      </w:r>
    </w:p>
    <w:p w14:paraId="48673CF1">
      <w:pPr>
        <w:numPr>
          <w:ilvl w:val="0"/>
          <w:numId w:val="0"/>
        </w:numPr>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（三）食物过敏及其预防</w:t>
      </w:r>
    </w:p>
    <w:p w14:paraId="2D7048AF">
      <w:pPr>
        <w:numPr>
          <w:ilvl w:val="0"/>
          <w:numId w:val="0"/>
        </w:numPr>
        <w:rPr>
          <w:rFonts w:hint="default"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（四）人畜共患传染病及其预防</w:t>
      </w:r>
    </w:p>
    <w:p w14:paraId="5AD22849">
      <w:pPr>
        <w:numPr>
          <w:ilvl w:val="0"/>
          <w:numId w:val="0"/>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（五）食物中毒案例分析</w:t>
      </w:r>
    </w:p>
    <w:p w14:paraId="3379D641">
      <w:pPr>
        <w:numPr>
          <w:ilvl w:val="0"/>
          <w:numId w:val="0"/>
        </w:numPr>
        <w:ind w:left="384" w:leftChars="0"/>
        <w:rPr>
          <w:rFonts w:hint="default" w:ascii="方正仿宋_GB2312" w:hAnsi="方正仿宋_GB2312" w:eastAsia="方正仿宋_GB2312" w:cs="方正仿宋_GB2312"/>
          <w:b/>
          <w:bCs/>
          <w:sz w:val="24"/>
          <w:szCs w:val="24"/>
          <w:lang w:val="en-US" w:eastAsia="zh-CN"/>
        </w:rPr>
      </w:pPr>
    </w:p>
    <w:p w14:paraId="40258AEF">
      <w:pPr>
        <w:numPr>
          <w:ilvl w:val="0"/>
          <w:numId w:val="0"/>
        </w:numPr>
        <w:ind w:leftChars="0"/>
        <w:jc w:val="center"/>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五、</w:t>
      </w:r>
      <w:r>
        <w:rPr>
          <w:rFonts w:hint="eastAsia" w:ascii="黑体" w:hAnsi="黑体" w:eastAsia="黑体" w:cs="黑体"/>
          <w:sz w:val="30"/>
          <w:szCs w:val="30"/>
        </w:rPr>
        <w:t>转基因食品及其他新技术食品的卫生</w:t>
      </w:r>
    </w:p>
    <w:p w14:paraId="0D21C796">
      <w:pPr>
        <w:numPr>
          <w:ilvl w:val="0"/>
          <w:numId w:val="0"/>
        </w:numPr>
        <w:ind w:leftChars="0"/>
        <w:jc w:val="both"/>
        <w:rPr>
          <w:rFonts w:hint="default" w:ascii="黑体" w:hAnsi="黑体" w:eastAsia="黑体" w:cs="黑体"/>
          <w:sz w:val="30"/>
          <w:szCs w:val="30"/>
          <w:lang w:val="en-US" w:eastAsia="zh-CN"/>
        </w:rPr>
      </w:pPr>
    </w:p>
    <w:p w14:paraId="174DB0CB">
      <w:pPr>
        <w:numPr>
          <w:ilvl w:val="0"/>
          <w:numId w:val="6"/>
        </w:numPr>
        <w:ind w:left="-480" w:leftChars="0" w:firstLine="480" w:firstLineChars="0"/>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转基因食品及其卫生管理</w:t>
      </w:r>
    </w:p>
    <w:p w14:paraId="57E65058">
      <w:pPr>
        <w:numPr>
          <w:ilvl w:val="0"/>
          <w:numId w:val="6"/>
        </w:numPr>
        <w:ind w:left="-480" w:leftChars="0" w:firstLine="480" w:firstLineChars="0"/>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lang w:val="en-US" w:eastAsia="zh-CN"/>
        </w:rPr>
        <w:t>微波食品及其卫生管理</w:t>
      </w:r>
    </w:p>
    <w:p w14:paraId="3AFE2479">
      <w:pPr>
        <w:numPr>
          <w:ilvl w:val="0"/>
          <w:numId w:val="6"/>
        </w:numPr>
        <w:ind w:left="-480" w:leftChars="0" w:firstLine="480" w:firstLineChars="0"/>
        <w:rPr>
          <w:rFonts w:hint="eastAsia"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b/>
          <w:bCs/>
          <w:sz w:val="24"/>
          <w:szCs w:val="24"/>
          <w:lang w:val="en-US" w:eastAsia="zh-CN"/>
        </w:rPr>
        <w:t>辐照食品及其卫生管理</w:t>
      </w:r>
    </w:p>
    <w:p w14:paraId="78ECC25E">
      <w:pPr>
        <w:numPr>
          <w:ilvl w:val="0"/>
          <w:numId w:val="0"/>
        </w:numPr>
        <w:rPr>
          <w:rFonts w:hint="eastAsia" w:ascii="方正仿宋_GB2312" w:hAnsi="方正仿宋_GB2312" w:eastAsia="方正仿宋_GB2312" w:cs="方正仿宋_GB2312"/>
          <w:sz w:val="24"/>
          <w:szCs w:val="24"/>
          <w:lang w:val="en-US" w:eastAsia="zh-CN"/>
        </w:rPr>
      </w:pPr>
    </w:p>
    <w:p w14:paraId="34D1A5D8">
      <w:pPr>
        <w:numPr>
          <w:ilvl w:val="0"/>
          <w:numId w:val="7"/>
        </w:numPr>
        <w:jc w:val="center"/>
        <w:rPr>
          <w:rFonts w:hint="eastAsia" w:ascii="黑体" w:hAnsi="黑体" w:eastAsia="黑体" w:cs="黑体"/>
          <w:sz w:val="30"/>
          <w:szCs w:val="30"/>
        </w:rPr>
      </w:pPr>
      <w:r>
        <w:rPr>
          <w:rFonts w:hint="eastAsia" w:ascii="黑体" w:hAnsi="黑体" w:eastAsia="黑体" w:cs="黑体"/>
          <w:sz w:val="30"/>
          <w:szCs w:val="30"/>
        </w:rPr>
        <w:t>食品安全性评价</w:t>
      </w:r>
    </w:p>
    <w:p w14:paraId="39EF6036">
      <w:pPr>
        <w:numPr>
          <w:ilvl w:val="0"/>
          <w:numId w:val="0"/>
        </w:numPr>
        <w:jc w:val="both"/>
        <w:rPr>
          <w:rFonts w:hint="eastAsia" w:ascii="黑体" w:hAnsi="黑体" w:eastAsia="黑体" w:cs="黑体"/>
          <w:sz w:val="30"/>
          <w:szCs w:val="30"/>
        </w:rPr>
      </w:pPr>
    </w:p>
    <w:p w14:paraId="4F9E6F9D">
      <w:pPr>
        <w:numPr>
          <w:ilvl w:val="0"/>
          <w:numId w:val="0"/>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（一）食品安全性毒理学评价</w:t>
      </w:r>
    </w:p>
    <w:p w14:paraId="29F00039">
      <w:pPr>
        <w:numPr>
          <w:ilvl w:val="0"/>
          <w:numId w:val="0"/>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（二）食品安全风险分析</w:t>
      </w:r>
    </w:p>
    <w:p w14:paraId="5EDEA9F4">
      <w:pPr>
        <w:numPr>
          <w:ilvl w:val="0"/>
          <w:numId w:val="0"/>
        </w:numPr>
        <w:jc w:val="center"/>
        <w:rPr>
          <w:rFonts w:hint="eastAsia" w:ascii="黑体" w:hAnsi="黑体" w:eastAsia="黑体" w:cs="黑体"/>
          <w:sz w:val="30"/>
          <w:szCs w:val="30"/>
        </w:rPr>
      </w:pPr>
      <w:r>
        <w:rPr>
          <w:rFonts w:hint="eastAsia" w:ascii="黑体" w:hAnsi="黑体" w:eastAsia="黑体" w:cs="黑体"/>
          <w:sz w:val="30"/>
          <w:szCs w:val="30"/>
          <w:lang w:val="en-US" w:eastAsia="zh-CN"/>
        </w:rPr>
        <w:t>七、</w:t>
      </w:r>
      <w:r>
        <w:rPr>
          <w:rFonts w:hint="eastAsia" w:ascii="黑体" w:hAnsi="黑体" w:eastAsia="黑体" w:cs="黑体"/>
          <w:sz w:val="30"/>
          <w:szCs w:val="30"/>
        </w:rPr>
        <w:t>食品</w:t>
      </w:r>
      <w:r>
        <w:rPr>
          <w:rFonts w:hint="eastAsia" w:ascii="黑体" w:hAnsi="黑体" w:eastAsia="黑体" w:cs="黑体"/>
          <w:sz w:val="30"/>
          <w:szCs w:val="30"/>
          <w:lang w:val="en-US" w:eastAsia="zh-CN"/>
        </w:rPr>
        <w:t>安全监督</w:t>
      </w:r>
      <w:r>
        <w:rPr>
          <w:rFonts w:hint="eastAsia" w:ascii="黑体" w:hAnsi="黑体" w:eastAsia="黑体" w:cs="黑体"/>
          <w:sz w:val="30"/>
          <w:szCs w:val="30"/>
        </w:rPr>
        <w:t>管理</w:t>
      </w:r>
    </w:p>
    <w:p w14:paraId="2DF574F4">
      <w:pPr>
        <w:numPr>
          <w:ilvl w:val="0"/>
          <w:numId w:val="0"/>
        </w:numPr>
        <w:jc w:val="center"/>
        <w:rPr>
          <w:rFonts w:hint="eastAsia" w:ascii="黑体" w:hAnsi="黑体" w:eastAsia="黑体" w:cs="黑体"/>
          <w:sz w:val="30"/>
          <w:szCs w:val="30"/>
        </w:rPr>
      </w:pPr>
    </w:p>
    <w:p w14:paraId="1835346F">
      <w:pPr>
        <w:numPr>
          <w:ilvl w:val="0"/>
          <w:numId w:val="8"/>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我国食品安全监管的法律法规体系</w:t>
      </w:r>
    </w:p>
    <w:p w14:paraId="0F9BE270">
      <w:pPr>
        <w:numPr>
          <w:ilvl w:val="0"/>
          <w:numId w:val="0"/>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（二）我国《食品安全法》的主要内容</w:t>
      </w:r>
    </w:p>
    <w:p w14:paraId="73AD779D">
      <w:pPr>
        <w:numPr>
          <w:ilvl w:val="0"/>
          <w:numId w:val="0"/>
        </w:numPr>
        <w:rPr>
          <w:rFonts w:hint="eastAsia" w:ascii="方正仿宋_GB2312" w:hAnsi="方正仿宋_GB2312" w:eastAsia="方正仿宋_GB2312" w:cs="方正仿宋_GB2312"/>
          <w:b/>
          <w:bCs/>
          <w:sz w:val="24"/>
          <w:szCs w:val="24"/>
          <w:lang w:val="en-US" w:eastAsia="zh-CN"/>
        </w:rPr>
      </w:pPr>
      <w:r>
        <w:rPr>
          <w:rFonts w:hint="eastAsia" w:ascii="方正仿宋_GB2312" w:hAnsi="方正仿宋_GB2312" w:eastAsia="方正仿宋_GB2312" w:cs="方正仿宋_GB2312"/>
          <w:b/>
          <w:bCs/>
          <w:sz w:val="24"/>
          <w:szCs w:val="24"/>
          <w:lang w:val="en-US" w:eastAsia="zh-CN"/>
        </w:rPr>
        <w:t>（三）我国食品安全标准内容及标准体系的结构</w:t>
      </w:r>
    </w:p>
    <w:p w14:paraId="5C21DC22">
      <w:pPr>
        <w:numPr>
          <w:ilvl w:val="0"/>
          <w:numId w:val="0"/>
        </w:numPr>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b/>
          <w:bCs/>
          <w:sz w:val="24"/>
          <w:szCs w:val="24"/>
          <w:lang w:val="en-US" w:eastAsia="zh-CN"/>
        </w:rPr>
        <w:t>（四）GMP、HACCP基本原理及步骤</w:t>
      </w: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9C278B-A4F3-4F83-98EF-327C44BA75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embedRegular r:id="rId2" w:fontKey="{21558EDA-A750-48DF-B8E3-02F8C920DCB8}"/>
  </w:font>
  <w:font w:name="方正仿宋_GB2312">
    <w:panose1 w:val="02000000000000000000"/>
    <w:charset w:val="86"/>
    <w:family w:val="auto"/>
    <w:pitch w:val="default"/>
    <w:sig w:usb0="A00002BF" w:usb1="184F6CFA" w:usb2="00000012" w:usb3="00000000" w:csb0="00040001" w:csb1="00000000"/>
    <w:embedRegular r:id="rId3" w:fontKey="{421B0CB7-E746-44CB-ABF5-73E58C50483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7AC79"/>
    <w:multiLevelType w:val="singleLevel"/>
    <w:tmpl w:val="98C7AC79"/>
    <w:lvl w:ilvl="0" w:tentative="0">
      <w:start w:val="1"/>
      <w:numFmt w:val="chineseCounting"/>
      <w:suff w:val="nothing"/>
      <w:lvlText w:val="（%1）"/>
      <w:lvlJc w:val="left"/>
      <w:pPr>
        <w:ind w:left="-480"/>
      </w:pPr>
      <w:rPr>
        <w:rFonts w:hint="eastAsia"/>
      </w:rPr>
    </w:lvl>
  </w:abstractNum>
  <w:abstractNum w:abstractNumId="1">
    <w:nsid w:val="A0A18333"/>
    <w:multiLevelType w:val="singleLevel"/>
    <w:tmpl w:val="A0A18333"/>
    <w:lvl w:ilvl="0" w:tentative="0">
      <w:start w:val="1"/>
      <w:numFmt w:val="chineseCounting"/>
      <w:suff w:val="nothing"/>
      <w:lvlText w:val="（%1）"/>
      <w:lvlJc w:val="left"/>
      <w:rPr>
        <w:rFonts w:hint="eastAsia"/>
      </w:rPr>
    </w:lvl>
  </w:abstractNum>
  <w:abstractNum w:abstractNumId="2">
    <w:nsid w:val="D3769BA6"/>
    <w:multiLevelType w:val="singleLevel"/>
    <w:tmpl w:val="D3769BA6"/>
    <w:lvl w:ilvl="0" w:tentative="0">
      <w:start w:val="1"/>
      <w:numFmt w:val="chineseCounting"/>
      <w:suff w:val="nothing"/>
      <w:lvlText w:val="（%1）"/>
      <w:lvlJc w:val="left"/>
      <w:rPr>
        <w:rFonts w:hint="eastAsia"/>
      </w:rPr>
    </w:lvl>
  </w:abstractNum>
  <w:abstractNum w:abstractNumId="3">
    <w:nsid w:val="D737BC7A"/>
    <w:multiLevelType w:val="singleLevel"/>
    <w:tmpl w:val="D737BC7A"/>
    <w:lvl w:ilvl="0" w:tentative="0">
      <w:start w:val="1"/>
      <w:numFmt w:val="chineseCounting"/>
      <w:suff w:val="nothing"/>
      <w:lvlText w:val="（%1）"/>
      <w:lvlJc w:val="left"/>
      <w:rPr>
        <w:rFonts w:hint="eastAsia"/>
      </w:rPr>
    </w:lvl>
  </w:abstractNum>
  <w:abstractNum w:abstractNumId="4">
    <w:nsid w:val="0CB64840"/>
    <w:multiLevelType w:val="singleLevel"/>
    <w:tmpl w:val="0CB64840"/>
    <w:lvl w:ilvl="0" w:tentative="0">
      <w:start w:val="1"/>
      <w:numFmt w:val="chineseCounting"/>
      <w:suff w:val="nothing"/>
      <w:lvlText w:val="（%1）"/>
      <w:lvlJc w:val="left"/>
      <w:pPr>
        <w:ind w:left="-480"/>
      </w:pPr>
      <w:rPr>
        <w:rFonts w:hint="eastAsia"/>
      </w:rPr>
    </w:lvl>
  </w:abstractNum>
  <w:abstractNum w:abstractNumId="5">
    <w:nsid w:val="29D99093"/>
    <w:multiLevelType w:val="singleLevel"/>
    <w:tmpl w:val="29D99093"/>
    <w:lvl w:ilvl="0" w:tentative="0">
      <w:start w:val="6"/>
      <w:numFmt w:val="chineseCounting"/>
      <w:suff w:val="nothing"/>
      <w:lvlText w:val="%1、"/>
      <w:lvlJc w:val="left"/>
      <w:rPr>
        <w:rFonts w:hint="eastAsia"/>
      </w:rPr>
    </w:lvl>
  </w:abstractNum>
  <w:abstractNum w:abstractNumId="6">
    <w:nsid w:val="30DA0F09"/>
    <w:multiLevelType w:val="singleLevel"/>
    <w:tmpl w:val="30DA0F09"/>
    <w:lvl w:ilvl="0" w:tentative="0">
      <w:start w:val="1"/>
      <w:numFmt w:val="chineseCounting"/>
      <w:suff w:val="nothing"/>
      <w:lvlText w:val="%1、"/>
      <w:lvlJc w:val="left"/>
      <w:rPr>
        <w:rFonts w:hint="eastAsia"/>
      </w:rPr>
    </w:lvl>
  </w:abstractNum>
  <w:abstractNum w:abstractNumId="7">
    <w:nsid w:val="7E9BD576"/>
    <w:multiLevelType w:val="singleLevel"/>
    <w:tmpl w:val="7E9BD576"/>
    <w:lvl w:ilvl="0" w:tentative="0">
      <w:start w:val="1"/>
      <w:numFmt w:val="decimal"/>
      <w:suff w:val="nothing"/>
      <w:lvlText w:val="%1、"/>
      <w:lvlJc w:val="left"/>
    </w:lvl>
  </w:abstractNum>
  <w:num w:numId="1">
    <w:abstractNumId w:val="6"/>
  </w:num>
  <w:num w:numId="2">
    <w:abstractNumId w:val="3"/>
  </w:num>
  <w:num w:numId="3">
    <w:abstractNumId w:val="7"/>
  </w:num>
  <w:num w:numId="4">
    <w:abstractNumId w:val="1"/>
  </w:num>
  <w:num w:numId="5">
    <w:abstractNumId w:val="4"/>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5"/>
  <w:doNotHyphenateCaps/>
  <w:drawingGridHorizontalSpacing w:val="96"/>
  <w:drawingGridVerticalSpacing w:val="323"/>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15"/>
    <w:rsid w:val="00002A5C"/>
    <w:rsid w:val="00006F1E"/>
    <w:rsid w:val="000142B9"/>
    <w:rsid w:val="00021372"/>
    <w:rsid w:val="00022A0F"/>
    <w:rsid w:val="00035C41"/>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1613"/>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77175"/>
    <w:rsid w:val="002857D8"/>
    <w:rsid w:val="002863E2"/>
    <w:rsid w:val="0028733A"/>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2247"/>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51B2"/>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7F7E0C"/>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D7E81"/>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A6F52"/>
    <w:rsid w:val="009B0707"/>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2FC"/>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3142"/>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A698F"/>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35767"/>
    <w:rsid w:val="00F4135D"/>
    <w:rsid w:val="00F43DD2"/>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E369B"/>
    <w:rsid w:val="00FF6351"/>
    <w:rsid w:val="00FF66DE"/>
    <w:rsid w:val="012A6BDB"/>
    <w:rsid w:val="164A5852"/>
    <w:rsid w:val="1E5F698C"/>
    <w:rsid w:val="21AF7125"/>
    <w:rsid w:val="29772E93"/>
    <w:rsid w:val="3DCD592F"/>
    <w:rsid w:val="4D034E0E"/>
    <w:rsid w:val="4D7E04CE"/>
    <w:rsid w:val="4E243ACD"/>
    <w:rsid w:val="4FA9473B"/>
    <w:rsid w:val="63B61FFF"/>
    <w:rsid w:val="78BD78C2"/>
    <w:rsid w:val="7B3D4126"/>
    <w:rsid w:val="7B6848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99"/>
    <w:pPr>
      <w:spacing w:beforeLines="30" w:line="480" w:lineRule="exact"/>
      <w:ind w:firstLine="520" w:firstLineChars="200"/>
    </w:pPr>
    <w:rPr>
      <w:rFonts w:hAnsi="宋体"/>
      <w:sz w:val="26"/>
      <w:szCs w:val="26"/>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99"/>
    <w:rPr>
      <w:color w:val="0000FF"/>
      <w:u w:val="single"/>
    </w:rPr>
  </w:style>
  <w:style w:type="character" w:customStyle="1" w:styleId="10">
    <w:name w:val="正文文本缩进 Char"/>
    <w:link w:val="2"/>
    <w:qFormat/>
    <w:locked/>
    <w:uiPriority w:val="99"/>
    <w:rPr>
      <w:rFonts w:hAnsi="宋体"/>
      <w:kern w:val="2"/>
      <w:sz w:val="32"/>
      <w:szCs w:val="32"/>
    </w:rPr>
  </w:style>
  <w:style w:type="character" w:customStyle="1" w:styleId="11">
    <w:name w:val="批注框文本 Char"/>
    <w:link w:val="3"/>
    <w:semiHidden/>
    <w:qFormat/>
    <w:uiPriority w:val="99"/>
    <w:rPr>
      <w:sz w:val="0"/>
      <w:szCs w:val="0"/>
    </w:rPr>
  </w:style>
  <w:style w:type="character" w:customStyle="1" w:styleId="12">
    <w:name w:val="页脚 Char"/>
    <w:link w:val="4"/>
    <w:qFormat/>
    <w:locked/>
    <w:uiPriority w:val="99"/>
    <w:rPr>
      <w:kern w:val="2"/>
      <w:sz w:val="18"/>
      <w:szCs w:val="18"/>
    </w:rPr>
  </w:style>
  <w:style w:type="character" w:customStyle="1" w:styleId="13">
    <w:name w:val="页眉 Char"/>
    <w:link w:val="5"/>
    <w:qFormat/>
    <w:locked/>
    <w:uiPriority w:val="99"/>
    <w:rPr>
      <w:kern w:val="2"/>
      <w:sz w:val="18"/>
      <w:szCs w:val="18"/>
    </w:rPr>
  </w:style>
  <w:style w:type="character" w:customStyle="1" w:styleId="14">
    <w:name w:val="apple-converted-space"/>
    <w:basedOn w:val="8"/>
    <w:qFormat/>
    <w:uiPriority w:val="99"/>
  </w:style>
  <w:style w:type="paragraph" w:customStyle="1" w:styleId="15">
    <w:name w:val="Default"/>
    <w:qFormat/>
    <w:uiPriority w:val="99"/>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3</Pages>
  <Words>1800</Words>
  <Characters>1831</Characters>
  <Lines>6</Lines>
  <Paragraphs>1</Paragraphs>
  <TotalTime>75</TotalTime>
  <ScaleCrop>false</ScaleCrop>
  <LinksUpToDate>false</LinksUpToDate>
  <CharactersWithSpaces>1870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2023-09-19T01:43:00Z</dcterms:created>
  <dc:creator>李丽兰</dc:creator>
  <cp:lastModifiedBy>Lily</cp:lastModifiedBy>
  <cp:lastPrinted>2018-07-16T02:14:00Z</cp:lastPrinted>
  <dcterms:modified xsi:type="dcterms:W3CDTF">2025-09-20T06:52:42Z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76B9F406275D4E50A1E8BA0A601A9ECD_13</vt:lpwstr>
  </property>
  <property fmtid="{D5CDD505-2E9C-101B-9397-08002B2CF9AE}" pid="4" name="KSOTemplateDocerSaveRecord">
    <vt:lpwstr>eyJoZGlkIjoiNmVlZGVlMjQ2NGU5ZjcyOTNhYTVmODk4OTAwNjI3ZDYiLCJ1c2VySWQiOiIyOTczODU3OTMifQ==</vt:lpwstr>
  </property>
</Properties>
</file>