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rPr>
      </w:pPr>
      <w:r>
        <w:rPr>
          <w:rFonts w:hint="eastAsia" w:ascii="黑体" w:hAnsi="黑体" w:eastAsia="黑体"/>
          <w:b/>
          <w:bCs/>
          <w:color w:val="000000" w:themeColor="text1"/>
          <w:sz w:val="32"/>
          <w:szCs w:val="32"/>
        </w:rPr>
        <w:t>2024年全国硕士研究生招生考试</w:t>
      </w:r>
      <w:r>
        <w:rPr>
          <w:rFonts w:hint="eastAsia" w:ascii="黑体" w:hAnsi="黑体" w:eastAsia="黑体"/>
          <w:b/>
          <w:bCs/>
          <w:color w:val="000000" w:themeColor="text1"/>
          <w:sz w:val="32"/>
          <w:szCs w:val="32"/>
          <w:lang w:eastAsia="zh-CN"/>
        </w:rPr>
        <w:t>《</w:t>
      </w:r>
      <w:r>
        <w:rPr>
          <w:rFonts w:hint="eastAsia" w:ascii="黑体" w:hAnsi="黑体" w:eastAsia="黑体"/>
          <w:b/>
          <w:bCs/>
          <w:color w:val="000000" w:themeColor="text1"/>
          <w:sz w:val="32"/>
          <w:szCs w:val="32"/>
        </w:rPr>
        <w:t>食品科学基础</w:t>
      </w:r>
      <w:r>
        <w:rPr>
          <w:rFonts w:hint="eastAsia" w:ascii="黑体" w:hAnsi="黑体" w:eastAsia="黑体"/>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考试大纲</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280" w:firstLineChars="100"/>
        <w:textAlignment w:val="auto"/>
        <w:rPr>
          <w:rFonts w:hint="eastAsia" w:ascii="黑体" w:hAnsi="黑体" w:eastAsia="黑体" w:cs="黑体"/>
          <w:color w:val="000000" w:themeColor="text1"/>
          <w:sz w:val="28"/>
          <w:szCs w:val="28"/>
        </w:rPr>
      </w:pPr>
      <w:r>
        <w:rPr>
          <w:rFonts w:hint="eastAsia" w:ascii="黑体" w:hAnsi="黑体" w:eastAsia="黑体" w:cs="黑体"/>
          <w:color w:val="000000" w:themeColor="text1"/>
          <w:sz w:val="28"/>
          <w:szCs w:val="28"/>
        </w:rPr>
        <w:t>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bookmarkStart w:id="0" w:name="_GoBack"/>
      <w:r>
        <w:rPr>
          <w:rFonts w:hint="eastAsia" w:ascii="仿宋_GB2312" w:hAnsi="仿宋_GB2312" w:eastAsia="仿宋_GB2312" w:cs="仿宋_GB2312"/>
          <w:color w:val="000000" w:themeColor="text1"/>
          <w:sz w:val="24"/>
          <w:szCs w:val="24"/>
        </w:rPr>
        <w:t>食品科学基础考试是湖南农业大学食品科学与工程学科招收硕士研究生而设置的</w:t>
      </w:r>
      <w:bookmarkEnd w:id="0"/>
      <w:r>
        <w:rPr>
          <w:rFonts w:hint="eastAsia" w:ascii="仿宋_GB2312" w:hAnsi="仿宋_GB2312" w:eastAsia="仿宋_GB2312" w:cs="仿宋_GB2312"/>
          <w:color w:val="000000" w:themeColor="text1"/>
          <w:sz w:val="24"/>
          <w:szCs w:val="24"/>
        </w:rPr>
        <w:t>具有选拔性质的招生考试科目，其目的是科学、公平、有效地测试考生掌握大学本科阶段食品科学的基本概念、基础理论和基本方法，以及运用食品科学的基础理论知识分析和解决问题的能力，评价的标准是高等学校本科毕业生能达到及格或及格以上水平，以保证被录取者掌握大学本科阶段食品科学的基本概念、基础理论和基本方法，并有利于湖南农业大学食品科学与工程学科在专业上择优选拔学生。</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280" w:firstLineChars="100"/>
        <w:textAlignment w:val="auto"/>
        <w:rPr>
          <w:rFonts w:hint="eastAsia" w:ascii="黑体" w:hAnsi="黑体" w:eastAsia="黑体" w:cs="黑体"/>
          <w:color w:val="000000" w:themeColor="text1"/>
          <w:sz w:val="28"/>
          <w:szCs w:val="28"/>
        </w:rPr>
      </w:pPr>
      <w:r>
        <w:rPr>
          <w:rFonts w:hint="eastAsia" w:ascii="黑体" w:hAnsi="黑体" w:eastAsia="黑体" w:cs="黑体"/>
          <w:color w:val="000000" w:themeColor="text1"/>
          <w:sz w:val="28"/>
          <w:szCs w:val="28"/>
          <w:lang w:val="en-US" w:eastAsia="zh-CN"/>
        </w:rPr>
        <w:t>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食品科学基础考试内容涵盖食品脱水加工、食品热处理和杀菌、食品冷冻处理、食品的腌渍发酵和烟熏处理、食品化学保藏、食品的辐射保藏、常见食品的加工工艺等内容，要求考生较系统地掌握食品科学的相关基础理论知识，准确、恰当地使用本学科的专业术语，了解食品科学的发展动态、研究方向及部分学术前沿，掌握各种食品加工方法的步骤、操作要点、注意事项等。</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280" w:firstLineChars="100"/>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一）</w:t>
      </w:r>
      <w:r>
        <w:rPr>
          <w:rFonts w:hint="eastAsia" w:ascii="仿宋_GB2312" w:hAnsi="仿宋_GB2312" w:eastAsia="仿宋_GB2312" w:cs="仿宋_GB2312"/>
          <w:b/>
          <w:color w:val="000000" w:themeColor="text1"/>
          <w:sz w:val="24"/>
          <w:szCs w:val="24"/>
          <w:lang w:eastAsia="zh-CN"/>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二）</w:t>
      </w:r>
      <w:r>
        <w:rPr>
          <w:rFonts w:hint="eastAsia" w:ascii="仿宋_GB2312" w:hAnsi="仿宋_GB2312" w:eastAsia="仿宋_GB2312" w:cs="仿宋_GB2312"/>
          <w:b/>
          <w:color w:val="000000" w:themeColor="text1"/>
          <w:sz w:val="24"/>
          <w:szCs w:val="24"/>
          <w:lang w:eastAsia="zh-CN"/>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三）</w:t>
      </w:r>
      <w:r>
        <w:rPr>
          <w:rFonts w:hint="eastAsia" w:ascii="仿宋_GB2312" w:hAnsi="仿宋_GB2312" w:eastAsia="仿宋_GB2312" w:cs="仿宋_GB2312"/>
          <w:b/>
          <w:color w:val="000000" w:themeColor="text1"/>
          <w:sz w:val="24"/>
          <w:szCs w:val="24"/>
          <w:lang w:eastAsia="zh-CN"/>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一些重要的食品概念与理论基础约10%；</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食品脱水：利用水分活度保藏食品的原理与方法；影响干制的因素及干制过程中的主要变化约15%</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与热加工有关的基本技术：热处理的原理；巴氏杀菌、热烫与商业杀菌约15%；</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食品冷冻：降低温度延长货架期的原理与技术；着重冻结对食品品质的影响以及冻藏过程中质量的变化约10%；</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腌制发酵和烟熏：腌制发酵和烟熏的基本原理及影响因素约15%；</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化学保藏：以防腐和抗氧化为主的食品化学保藏原理约10%；</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7</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食品辐照保藏：食品辐照保藏概念及其影响因素，食品辐照的物理学效应、化学效应及生物学效应约10%；</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8</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典型的食品加工工艺：肉类制品、水产制品、乳制品、果蔬制品、饮料、糖果巧克力和谷物制品等典型食品加工工艺约15%。</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华文中宋" w:hAnsi="华文中宋" w:eastAsia="华文中宋"/>
          <w:b/>
          <w:sz w:val="24"/>
          <w:szCs w:val="24"/>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四）</w:t>
      </w:r>
      <w:r>
        <w:rPr>
          <w:rFonts w:hint="eastAsia" w:ascii="仿宋_GB2312" w:hAnsi="仿宋_GB2312" w:eastAsia="仿宋_GB2312" w:cs="仿宋_GB2312"/>
          <w:b/>
          <w:color w:val="000000" w:themeColor="text1"/>
          <w:sz w:val="24"/>
          <w:szCs w:val="24"/>
          <w:lang w:eastAsia="zh-CN"/>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简答题：一般6小题，每小题5分，共计30分。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论述题：一般10小题，每小题12分，共计120分。</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280" w:firstLineChars="100"/>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考查内容</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一</w:t>
      </w: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绪论</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食品的概念；</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食品加工工艺；</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食品工业及其发展趋势。</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lang w:val="en-US" w:eastAsia="zh-CN"/>
        </w:rPr>
        <w:t>二）</w:t>
      </w:r>
      <w:r>
        <w:rPr>
          <w:rFonts w:hint="eastAsia" w:ascii="仿宋_GB2312" w:hAnsi="仿宋_GB2312" w:eastAsia="仿宋_GB2312" w:cs="仿宋_GB2312"/>
          <w:b/>
          <w:bCs/>
          <w:color w:val="000000" w:themeColor="text1"/>
          <w:sz w:val="24"/>
          <w:szCs w:val="24"/>
        </w:rPr>
        <w:t>食品的脱水</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食品干藏原理；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食品的干燥机制；</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干制对食品品质的影响；</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食品的干制方法；</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干制品的包装与贮藏。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lang w:val="en-US" w:eastAsia="zh-CN"/>
        </w:rPr>
        <w:t>三）</w:t>
      </w:r>
      <w:r>
        <w:rPr>
          <w:rFonts w:hint="eastAsia" w:ascii="仿宋_GB2312" w:hAnsi="仿宋_GB2312" w:eastAsia="仿宋_GB2312" w:cs="仿宋_GB2312"/>
          <w:b/>
          <w:bCs/>
          <w:color w:val="000000" w:themeColor="text1"/>
          <w:sz w:val="24"/>
          <w:szCs w:val="24"/>
        </w:rPr>
        <w:t>食品的热处理和杀菌</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热处理原理；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热处理技术；</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热处理与产品质量。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val="en-US" w:eastAsia="zh-CN"/>
        </w:rPr>
        <w:t>（四）</w:t>
      </w:r>
      <w:r>
        <w:rPr>
          <w:rFonts w:hint="eastAsia" w:ascii="仿宋_GB2312" w:hAnsi="仿宋_GB2312" w:eastAsia="仿宋_GB2312" w:cs="仿宋_GB2312"/>
          <w:b/>
          <w:bCs/>
          <w:color w:val="000000" w:themeColor="text1"/>
          <w:sz w:val="24"/>
          <w:szCs w:val="24"/>
        </w:rPr>
        <w:t>食品冷冻</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食品冷冻保藏原理；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食品的冷却与冷藏；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低温气调储藏；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食品的冷冻与冻藏；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冻制品的包装和贮藏。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lang w:val="en-US" w:eastAsia="zh-CN"/>
        </w:rPr>
        <w:t>五）</w:t>
      </w:r>
      <w:r>
        <w:rPr>
          <w:rFonts w:hint="eastAsia" w:ascii="仿宋_GB2312" w:hAnsi="仿宋_GB2312" w:eastAsia="仿宋_GB2312" w:cs="仿宋_GB2312"/>
          <w:b/>
          <w:bCs/>
          <w:color w:val="000000" w:themeColor="text1"/>
          <w:sz w:val="24"/>
          <w:szCs w:val="24"/>
        </w:rPr>
        <w:t>食品的腌渍发酵和烟熏处理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食品的腌渍保藏；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食品的发酵保藏；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食品的烟熏处理；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半干半湿食品。</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六</w:t>
      </w: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食品的化学保藏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食品化学保藏的定义和特点；</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食品防腐剂及其使用；</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抗氧化剂。</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七</w:t>
      </w: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食品的辐射保藏</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辐照的基本概念；</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食品辐照保藏原理；</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辐照对食品质量的影响；</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辐照在食品保藏中的应用；</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食品辐照的安全与法规。</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八</w:t>
      </w:r>
      <w:r>
        <w:rPr>
          <w:rFonts w:hint="eastAsia" w:ascii="仿宋_GB2312" w:hAnsi="仿宋_GB2312" w:eastAsia="仿宋_GB2312" w:cs="仿宋_GB2312"/>
          <w:b/>
          <w:bCs/>
          <w:color w:val="000000" w:themeColor="text1"/>
          <w:sz w:val="24"/>
          <w:szCs w:val="24"/>
          <w:lang w:eastAsia="zh-CN"/>
        </w:rPr>
        <w:t>）</w:t>
      </w:r>
      <w:r>
        <w:rPr>
          <w:rFonts w:hint="eastAsia" w:ascii="仿宋_GB2312" w:hAnsi="仿宋_GB2312" w:eastAsia="仿宋_GB2312" w:cs="仿宋_GB2312"/>
          <w:b/>
          <w:bCs/>
          <w:color w:val="000000" w:themeColor="text1"/>
          <w:sz w:val="24"/>
          <w:szCs w:val="24"/>
        </w:rPr>
        <w:t>食品加工工艺</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肉类制品；</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水产制品；</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乳制品；</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果蔬制品；</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软饮料；</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果糖巧克力制品；</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7</w:t>
      </w:r>
      <w:r>
        <w:rPr>
          <w:rFonts w:hint="eastAsia" w:ascii="仿宋_GB2312" w:hAnsi="仿宋_GB2312" w:eastAsia="仿宋_GB2312" w:cs="仿宋_GB2312"/>
          <w:color w:val="000000" w:themeColor="text1"/>
          <w:sz w:val="24"/>
          <w:szCs w:val="24"/>
          <w:lang w:val="en-US" w:eastAsia="zh-CN"/>
        </w:rPr>
        <w:t>.</w:t>
      </w:r>
      <w:r>
        <w:rPr>
          <w:rFonts w:hint="eastAsia" w:ascii="仿宋_GB2312" w:hAnsi="仿宋_GB2312" w:eastAsia="仿宋_GB2312" w:cs="仿宋_GB2312"/>
          <w:color w:val="000000" w:themeColor="text1"/>
          <w:sz w:val="24"/>
          <w:szCs w:val="24"/>
        </w:rPr>
        <w:t>谷物制品。</w:t>
      </w:r>
    </w:p>
    <w:p>
      <w:pPr>
        <w:keepNext w:val="0"/>
        <w:keepLines w:val="0"/>
        <w:pageBreakBefore w:val="0"/>
        <w:widowControl w:val="0"/>
        <w:kinsoku/>
        <w:wordWrap/>
        <w:overflowPunct/>
        <w:topLinePunct w:val="0"/>
        <w:autoSpaceDE/>
        <w:autoSpaceDN/>
        <w:bidi w:val="0"/>
        <w:adjustRightInd/>
        <w:snapToGrid/>
        <w:spacing w:line="440" w:lineRule="exact"/>
        <w:ind w:firstLine="405"/>
        <w:textAlignment w:val="auto"/>
        <w:rPr>
          <w:rFonts w:hint="eastAsia" w:ascii="仿宋_GB2312" w:hAnsi="仿宋_GB2312" w:eastAsia="仿宋_GB2312" w:cs="仿宋_GB2312"/>
          <w:color w:val="000000" w:themeColor="text1"/>
          <w:sz w:val="24"/>
          <w:szCs w:val="24"/>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673F1"/>
    <w:multiLevelType w:val="singleLevel"/>
    <w:tmpl w:val="122673F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57B7"/>
    <w:rsid w:val="001A673C"/>
    <w:rsid w:val="001A7371"/>
    <w:rsid w:val="001B3E6A"/>
    <w:rsid w:val="001B585D"/>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4C7D"/>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41EA"/>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A2803"/>
    <w:rsid w:val="004B38BC"/>
    <w:rsid w:val="004B5C0D"/>
    <w:rsid w:val="004C3AAA"/>
    <w:rsid w:val="004D60CB"/>
    <w:rsid w:val="004D7604"/>
    <w:rsid w:val="004E2CA0"/>
    <w:rsid w:val="004F0A69"/>
    <w:rsid w:val="004F2D0C"/>
    <w:rsid w:val="00504404"/>
    <w:rsid w:val="0051149E"/>
    <w:rsid w:val="005118F3"/>
    <w:rsid w:val="00514378"/>
    <w:rsid w:val="0051537C"/>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45C65"/>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D5A3A"/>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05C4"/>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1DF1"/>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123D5"/>
    <w:rsid w:val="00B352B6"/>
    <w:rsid w:val="00B3585C"/>
    <w:rsid w:val="00B41E39"/>
    <w:rsid w:val="00B47726"/>
    <w:rsid w:val="00B51969"/>
    <w:rsid w:val="00B564FF"/>
    <w:rsid w:val="00B73582"/>
    <w:rsid w:val="00B77C82"/>
    <w:rsid w:val="00B8107B"/>
    <w:rsid w:val="00B85134"/>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4574"/>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46922"/>
    <w:rsid w:val="00D501D8"/>
    <w:rsid w:val="00D50F88"/>
    <w:rsid w:val="00D54F9E"/>
    <w:rsid w:val="00D604DE"/>
    <w:rsid w:val="00D640AD"/>
    <w:rsid w:val="00D7373B"/>
    <w:rsid w:val="00D74290"/>
    <w:rsid w:val="00D8154A"/>
    <w:rsid w:val="00DA0716"/>
    <w:rsid w:val="00DB2B3E"/>
    <w:rsid w:val="00DB3E7A"/>
    <w:rsid w:val="00DB5A20"/>
    <w:rsid w:val="00DC1B96"/>
    <w:rsid w:val="00DC23BD"/>
    <w:rsid w:val="00DC4392"/>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91C8E"/>
    <w:rsid w:val="00EB022D"/>
    <w:rsid w:val="00EC3C1E"/>
    <w:rsid w:val="00EC4D3C"/>
    <w:rsid w:val="00ED0AB8"/>
    <w:rsid w:val="00EE25B4"/>
    <w:rsid w:val="00F01F9A"/>
    <w:rsid w:val="00F0239A"/>
    <w:rsid w:val="00F07511"/>
    <w:rsid w:val="00F104C0"/>
    <w:rsid w:val="00F106BD"/>
    <w:rsid w:val="00F1123C"/>
    <w:rsid w:val="00F21E1F"/>
    <w:rsid w:val="00F22C6A"/>
    <w:rsid w:val="00F23907"/>
    <w:rsid w:val="00F24384"/>
    <w:rsid w:val="00F258DA"/>
    <w:rsid w:val="00F262C1"/>
    <w:rsid w:val="00F4135D"/>
    <w:rsid w:val="00F41F45"/>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263B"/>
    <w:rsid w:val="00FA7B6C"/>
    <w:rsid w:val="00FB0C6C"/>
    <w:rsid w:val="00FB5D30"/>
    <w:rsid w:val="00FD7559"/>
    <w:rsid w:val="00FE35BD"/>
    <w:rsid w:val="00FE4ACF"/>
    <w:rsid w:val="00FF66DE"/>
    <w:rsid w:val="044B13E6"/>
    <w:rsid w:val="0F6727C2"/>
    <w:rsid w:val="204C0C3D"/>
    <w:rsid w:val="32832D19"/>
    <w:rsid w:val="44442736"/>
    <w:rsid w:val="65D47B8B"/>
    <w:rsid w:val="68ED3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字符"/>
    <w:link w:val="5"/>
    <w:qFormat/>
    <w:uiPriority w:val="0"/>
    <w:rPr>
      <w:kern w:val="2"/>
      <w:sz w:val="18"/>
      <w:szCs w:val="18"/>
    </w:rPr>
  </w:style>
  <w:style w:type="character" w:customStyle="1" w:styleId="11">
    <w:name w:val="页脚 字符"/>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字符"/>
    <w:link w:val="2"/>
    <w:qFormat/>
    <w:uiPriority w:val="99"/>
    <w:rPr>
      <w:rFonts w:hAnsi="宋体"/>
      <w:kern w:val="2"/>
      <w:sz w:val="26"/>
      <w:szCs w:val="32"/>
    </w:rPr>
  </w:style>
  <w:style w:type="paragraph" w:customStyle="1" w:styleId="14">
    <w:name w:val="Defaul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1228</Words>
  <Characters>1301</Characters>
  <Lines>9</Lines>
  <Paragraphs>2</Paragraphs>
  <TotalTime>8</TotalTime>
  <ScaleCrop>false</ScaleCrop>
  <LinksUpToDate>false</LinksUpToDate>
  <CharactersWithSpaces>1301</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2021-09-09T02:34:00Z</dcterms:created>
  <dc:creator>李丽兰</dc:creator>
  <cp:lastModifiedBy>Drink</cp:lastModifiedBy>
  <cp:lastPrinted>2018-07-16T02:14:00Z</cp:lastPrinted>
  <dcterms:modified xsi:type="dcterms:W3CDTF">2023-09-20T15:36:12Z</dcterms:modified>
  <dc:title>关于编制2002年硕士研究生招生专业目录的通知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6F6208DB607A47FD9CEE1146EC55D151</vt:lpwstr>
  </property>
</Properties>
</file>