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eastAsia="黑体"/>
          <w:sz w:val="24"/>
          <w:szCs w:val="24"/>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Times New Roman"/>
          <w:b/>
          <w:bCs/>
          <w:color w:val="000000" w:themeColor="text1"/>
          <w:sz w:val="32"/>
          <w:szCs w:val="32"/>
          <w14:textFill>
            <w14:solidFill>
              <w14:schemeClr w14:val="tx1"/>
            </w14:solidFill>
          </w14:textFill>
        </w:rPr>
      </w:pPr>
      <w:r>
        <w:rPr>
          <w:rFonts w:hint="eastAsia" w:ascii="黑体" w:hAnsi="黑体" w:eastAsia="黑体" w:cs="Times New Roman"/>
          <w:b/>
          <w:bCs/>
          <w:color w:val="000000" w:themeColor="text1"/>
          <w:sz w:val="32"/>
          <w:szCs w:val="32"/>
          <w14:textFill>
            <w14:solidFill>
              <w14:schemeClr w14:val="tx1"/>
            </w14:solidFill>
          </w14:textFill>
        </w:rPr>
        <w:t>2024年全国硕士研究生招生考试《电工电子技术》</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Times New Roman"/>
          <w:b/>
          <w:bCs/>
          <w:color w:val="000000" w:themeColor="text1"/>
          <w:sz w:val="32"/>
          <w:szCs w:val="32"/>
          <w14:textFill>
            <w14:solidFill>
              <w14:schemeClr w14:val="tx1"/>
            </w14:solidFill>
          </w14:textFill>
        </w:rPr>
      </w:pPr>
      <w:r>
        <w:rPr>
          <w:rFonts w:hint="eastAsia" w:ascii="黑体" w:hAnsi="黑体" w:eastAsia="黑体" w:cs="Times New Roman"/>
          <w:b/>
          <w:bCs/>
          <w:color w:val="000000" w:themeColor="text1"/>
          <w:sz w:val="32"/>
          <w:szCs w:val="32"/>
          <w14:textFill>
            <w14:solidFill>
              <w14:schemeClr w14:val="tx1"/>
            </w14:solidFill>
          </w14:textFill>
        </w:rPr>
        <w:t>考试大纲</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黑体" w:hAnsi="黑体" w:eastAsia="黑体" w:cs="Times New Roman"/>
          <w:b/>
          <w:bCs/>
          <w:color w:val="000000" w:themeColor="text1"/>
          <w:sz w:val="32"/>
          <w:szCs w:val="32"/>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一、考试性质</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电工电子技术考试是为湖南农业大学招收机械硕士专业学位研究生而设置的具有选拔性质的招生考试科目，其目的是科学、公平、有效地测试考生掌握大学本科阶段电工技术与电子技术课程的基本理论，基本知识和基本技能，以及综合运用相关知识分析解决电子电路问题的能力，评价标准是报考湖南农业大学专业学位研究生的考生能达到的及格或及格以上水平，以保证被录取者具有基本的电工电子技术基础知识和能力，并有利于机械硕士专业学位研究生择优选拔。</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二、考查目标</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电工电子技术课程考试涵盖基尔霍夫定律、电阻的等效变换、支路电流法、节点电压法、叠加原理、电压源与电流源及其等效变换、戴维南定理、换路定则、一阶线性电路的三要素法、积分电路、微分电路、正弦交流电路的分析、三相电路、半导体器件、共发射极放大电路、射极输出器、差动放大器、功率放大器、放大电路中的负反馈、集成运算放大器、直流稳压电源、逻辑代数运算法则及化简、组合逻辑电路的分析与设计等内容。</w:t>
      </w:r>
    </w:p>
    <w:p>
      <w:pPr>
        <w:keepNext w:val="0"/>
        <w:keepLines w:val="0"/>
        <w:pageBreakBefore w:val="0"/>
        <w:widowControl w:val="0"/>
        <w:tabs>
          <w:tab w:val="center" w:pos="5059"/>
        </w:tabs>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要求考生：</w:t>
      </w:r>
      <w:r>
        <w:rPr>
          <w:rFonts w:hint="eastAsia" w:ascii="仿宋_GB2312" w:hAnsi="仿宋_GB2312" w:eastAsia="仿宋_GB2312" w:cs="仿宋_GB2312"/>
          <w:sz w:val="24"/>
          <w:szCs w:val="24"/>
        </w:rPr>
        <w:tab/>
      </w:r>
    </w:p>
    <w:p>
      <w:pPr>
        <w:keepNext w:val="0"/>
        <w:keepLines w:val="0"/>
        <w:pageBreakBefore w:val="0"/>
        <w:widowControl w:val="0"/>
        <w:tabs>
          <w:tab w:val="center" w:pos="5059"/>
        </w:tabs>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1.掌握电路的基本分析方法，能运用恰当的电路定理和分析方法求解电路中的参数，具有较强的分析计算和逻辑推理能力。</w:t>
      </w:r>
    </w:p>
    <w:p>
      <w:pPr>
        <w:keepNext w:val="0"/>
        <w:keepLines w:val="0"/>
        <w:pageBreakBefore w:val="0"/>
        <w:widowControl w:val="0"/>
        <w:tabs>
          <w:tab w:val="center" w:pos="5059"/>
        </w:tabs>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2.掌握基本放大电路、集成运算放大电路、直流稳压电源等模拟电路的结构、特点和分析方法，并初步具有设计简单模拟电路的能力。</w:t>
      </w:r>
    </w:p>
    <w:p>
      <w:pPr>
        <w:keepNext w:val="0"/>
        <w:keepLines w:val="0"/>
        <w:pageBreakBefore w:val="0"/>
        <w:widowControl w:val="0"/>
        <w:tabs>
          <w:tab w:val="center" w:pos="5059"/>
        </w:tabs>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3.具备分析与设计简单组合逻辑电路的能力。</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三、考试形式和试卷结构</w:t>
      </w:r>
    </w:p>
    <w:p>
      <w:pPr>
        <w:keepNext w:val="0"/>
        <w:keepLines w:val="0"/>
        <w:pageBreakBefore w:val="0"/>
        <w:widowControl w:val="0"/>
        <w:kinsoku/>
        <w:wordWrap/>
        <w:overflowPunct/>
        <w:topLinePunct w:val="0"/>
        <w:autoSpaceDE/>
        <w:autoSpaceDN/>
        <w:bidi w:val="0"/>
        <w:adjustRightInd w:val="0"/>
        <w:snapToGrid w:val="0"/>
        <w:spacing w:line="440" w:lineRule="exact"/>
        <w:ind w:firstLine="482" w:firstLineChars="200"/>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（一）</w:t>
      </w:r>
      <w:r>
        <w:rPr>
          <w:rFonts w:hint="eastAsia" w:ascii="仿宋_GB2312" w:hAnsi="仿宋_GB2312" w:eastAsia="仿宋_GB2312" w:cs="仿宋_GB2312"/>
          <w:b/>
          <w:sz w:val="24"/>
          <w:szCs w:val="24"/>
        </w:rPr>
        <w:t>试卷满分及考试时间</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本试卷满分为150分，考试时间为180分钟。</w:t>
      </w:r>
    </w:p>
    <w:p>
      <w:pPr>
        <w:keepNext w:val="0"/>
        <w:keepLines w:val="0"/>
        <w:pageBreakBefore w:val="0"/>
        <w:widowControl w:val="0"/>
        <w:kinsoku/>
        <w:wordWrap/>
        <w:overflowPunct/>
        <w:topLinePunct w:val="0"/>
        <w:autoSpaceDE/>
        <w:autoSpaceDN/>
        <w:bidi w:val="0"/>
        <w:adjustRightInd w:val="0"/>
        <w:snapToGrid w:val="0"/>
        <w:spacing w:line="440" w:lineRule="exact"/>
        <w:ind w:firstLine="482" w:firstLineChars="200"/>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（二）</w:t>
      </w:r>
      <w:r>
        <w:rPr>
          <w:rFonts w:hint="eastAsia" w:ascii="仿宋_GB2312" w:hAnsi="仿宋_GB2312" w:eastAsia="仿宋_GB2312" w:cs="仿宋_GB2312"/>
          <w:b/>
          <w:sz w:val="24"/>
          <w:szCs w:val="24"/>
        </w:rPr>
        <w:t>答题方式</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答题方式为闭卷、笔试。</w:t>
      </w:r>
    </w:p>
    <w:p>
      <w:pPr>
        <w:keepNext w:val="0"/>
        <w:keepLines w:val="0"/>
        <w:pageBreakBefore w:val="0"/>
        <w:widowControl w:val="0"/>
        <w:kinsoku/>
        <w:wordWrap/>
        <w:overflowPunct/>
        <w:topLinePunct w:val="0"/>
        <w:autoSpaceDE/>
        <w:autoSpaceDN/>
        <w:bidi w:val="0"/>
        <w:adjustRightInd w:val="0"/>
        <w:snapToGrid w:val="0"/>
        <w:spacing w:line="440" w:lineRule="exact"/>
        <w:ind w:firstLine="482" w:firstLineChars="200"/>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（三）</w:t>
      </w:r>
      <w:r>
        <w:rPr>
          <w:rFonts w:hint="eastAsia" w:ascii="仿宋_GB2312" w:hAnsi="仿宋_GB2312" w:eastAsia="仿宋_GB2312" w:cs="仿宋_GB2312"/>
          <w:b/>
          <w:sz w:val="24"/>
          <w:szCs w:val="24"/>
        </w:rPr>
        <w:t>试卷内容结构</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电工技术约40%</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电子技术约60%</w:t>
      </w:r>
    </w:p>
    <w:p>
      <w:pPr>
        <w:keepNext w:val="0"/>
        <w:keepLines w:val="0"/>
        <w:pageBreakBefore w:val="0"/>
        <w:widowControl w:val="0"/>
        <w:kinsoku/>
        <w:wordWrap/>
        <w:overflowPunct/>
        <w:topLinePunct w:val="0"/>
        <w:autoSpaceDE/>
        <w:autoSpaceDN/>
        <w:bidi w:val="0"/>
        <w:adjustRightInd w:val="0"/>
        <w:snapToGrid w:val="0"/>
        <w:spacing w:line="440" w:lineRule="exact"/>
        <w:ind w:firstLine="482" w:firstLineChars="200"/>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（四）</w:t>
      </w:r>
      <w:r>
        <w:rPr>
          <w:rFonts w:hint="eastAsia" w:ascii="仿宋_GB2312" w:hAnsi="仿宋_GB2312" w:eastAsia="仿宋_GB2312" w:cs="仿宋_GB2312"/>
          <w:b/>
          <w:sz w:val="24"/>
          <w:szCs w:val="24"/>
        </w:rPr>
        <w:t>试卷题型结构</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选择题(20分)，共10道</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填空题(20分)，共20空</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简答题(20分)，共5道</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计算题(66分)，共5道</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综合分析题(24分)，共2道</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四、考查内容</w:t>
      </w:r>
    </w:p>
    <w:p>
      <w:pPr>
        <w:keepNext w:val="0"/>
        <w:keepLines w:val="0"/>
        <w:pageBreakBefore w:val="0"/>
        <w:widowControl w:val="0"/>
        <w:kinsoku/>
        <w:wordWrap/>
        <w:overflowPunct/>
        <w:topLinePunct w:val="0"/>
        <w:autoSpaceDE/>
        <w:autoSpaceDN/>
        <w:bidi w:val="0"/>
        <w:adjustRightInd w:val="0"/>
        <w:snapToGrid w:val="0"/>
        <w:spacing w:line="440" w:lineRule="exact"/>
        <w:ind w:firstLine="482" w:firstLineChars="200"/>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（一）</w:t>
      </w:r>
      <w:r>
        <w:rPr>
          <w:rFonts w:hint="eastAsia" w:ascii="仿宋_GB2312" w:hAnsi="仿宋_GB2312" w:eastAsia="仿宋_GB2312" w:cs="仿宋_GB2312"/>
          <w:b/>
          <w:sz w:val="24"/>
          <w:szCs w:val="24"/>
        </w:rPr>
        <w:t>电路基本概念与基本定律</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bookmarkStart w:id="0" w:name="_GoBack"/>
      <w:bookmarkEnd w:id="0"/>
      <w:r>
        <w:rPr>
          <w:rFonts w:hint="eastAsia" w:ascii="仿宋_GB2312" w:hAnsi="仿宋_GB2312" w:eastAsia="仿宋_GB2312" w:cs="仿宋_GB2312"/>
          <w:sz w:val="24"/>
          <w:szCs w:val="24"/>
        </w:rPr>
        <w:t>电压和电流的参考方向；</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(2)电源和负载；</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(3)欧姆定律、基尔霍夫定律；</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(4)电路中电位的概念及计算。</w:t>
      </w:r>
    </w:p>
    <w:p>
      <w:pPr>
        <w:keepNext w:val="0"/>
        <w:keepLines w:val="0"/>
        <w:pageBreakBefore w:val="0"/>
        <w:widowControl w:val="0"/>
        <w:kinsoku/>
        <w:wordWrap/>
        <w:overflowPunct/>
        <w:topLinePunct w:val="0"/>
        <w:autoSpaceDE/>
        <w:autoSpaceDN/>
        <w:bidi w:val="0"/>
        <w:adjustRightInd w:val="0"/>
        <w:snapToGrid w:val="0"/>
        <w:spacing w:line="440" w:lineRule="exact"/>
        <w:ind w:firstLine="482" w:firstLineChars="200"/>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（二）</w:t>
      </w:r>
      <w:r>
        <w:rPr>
          <w:rFonts w:hint="eastAsia" w:ascii="仿宋_GB2312" w:hAnsi="仿宋_GB2312" w:eastAsia="仿宋_GB2312" w:cs="仿宋_GB2312"/>
          <w:b/>
          <w:sz w:val="24"/>
          <w:szCs w:val="24"/>
        </w:rPr>
        <w:t>电路的分析方法</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(1)电阻串并联连接的等效变换；</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(2)电压源和电流源等效变换法；</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(3)支路电流法、结点电压法、叠加定理、戴维宁定理在电路分析中的应用。</w:t>
      </w:r>
    </w:p>
    <w:p>
      <w:pPr>
        <w:keepNext w:val="0"/>
        <w:keepLines w:val="0"/>
        <w:pageBreakBefore w:val="0"/>
        <w:widowControl w:val="0"/>
        <w:kinsoku/>
        <w:wordWrap/>
        <w:overflowPunct/>
        <w:topLinePunct w:val="0"/>
        <w:autoSpaceDE/>
        <w:autoSpaceDN/>
        <w:bidi w:val="0"/>
        <w:adjustRightInd w:val="0"/>
        <w:snapToGrid w:val="0"/>
        <w:spacing w:line="440" w:lineRule="exact"/>
        <w:ind w:firstLine="482" w:firstLineChars="200"/>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（三）</w:t>
      </w:r>
      <w:r>
        <w:rPr>
          <w:rFonts w:hint="eastAsia" w:ascii="仿宋_GB2312" w:hAnsi="仿宋_GB2312" w:eastAsia="仿宋_GB2312" w:cs="仿宋_GB2312"/>
          <w:b/>
          <w:sz w:val="24"/>
          <w:szCs w:val="24"/>
        </w:rPr>
        <w:t>电路的暂态分析</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(1)储能元件和换路定则；</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(2)一阶线性电路的三要素法；</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(3)微分电路与积分电路；</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(4)RC电路的响应、RL电路的响应。</w:t>
      </w:r>
    </w:p>
    <w:p>
      <w:pPr>
        <w:keepNext w:val="0"/>
        <w:keepLines w:val="0"/>
        <w:pageBreakBefore w:val="0"/>
        <w:widowControl w:val="0"/>
        <w:kinsoku/>
        <w:wordWrap/>
        <w:overflowPunct/>
        <w:topLinePunct w:val="0"/>
        <w:autoSpaceDE/>
        <w:autoSpaceDN/>
        <w:bidi w:val="0"/>
        <w:adjustRightInd w:val="0"/>
        <w:snapToGrid w:val="0"/>
        <w:spacing w:line="440" w:lineRule="exact"/>
        <w:ind w:firstLine="482" w:firstLineChars="200"/>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（四）</w:t>
      </w:r>
      <w:r>
        <w:rPr>
          <w:rFonts w:hint="eastAsia" w:ascii="仿宋_GB2312" w:hAnsi="仿宋_GB2312" w:eastAsia="仿宋_GB2312" w:cs="仿宋_GB2312"/>
          <w:b/>
          <w:sz w:val="24"/>
          <w:szCs w:val="24"/>
        </w:rPr>
        <w:t>正弦交流电路</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(1)正弦量的三要素；</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(2)正弦交流电路中的相量表示法；</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(3)正弦交流电路的分析；</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(4)功率因素、LC谐振的概念。</w:t>
      </w:r>
    </w:p>
    <w:p>
      <w:pPr>
        <w:keepNext w:val="0"/>
        <w:keepLines w:val="0"/>
        <w:pageBreakBefore w:val="0"/>
        <w:widowControl w:val="0"/>
        <w:kinsoku/>
        <w:wordWrap/>
        <w:overflowPunct/>
        <w:topLinePunct w:val="0"/>
        <w:autoSpaceDE/>
        <w:autoSpaceDN/>
        <w:bidi w:val="0"/>
        <w:adjustRightInd w:val="0"/>
        <w:snapToGrid w:val="0"/>
        <w:spacing w:line="440" w:lineRule="exact"/>
        <w:ind w:firstLine="482" w:firstLineChars="200"/>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（五）</w:t>
      </w:r>
      <w:r>
        <w:rPr>
          <w:rFonts w:hint="eastAsia" w:ascii="仿宋_GB2312" w:hAnsi="仿宋_GB2312" w:eastAsia="仿宋_GB2312" w:cs="仿宋_GB2312"/>
          <w:b/>
          <w:sz w:val="24"/>
          <w:szCs w:val="24"/>
        </w:rPr>
        <w:t>三相电路</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(1)三相电压；</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(2)三相电路的分析。</w:t>
      </w:r>
    </w:p>
    <w:p>
      <w:pPr>
        <w:keepNext w:val="0"/>
        <w:keepLines w:val="0"/>
        <w:pageBreakBefore w:val="0"/>
        <w:widowControl w:val="0"/>
        <w:kinsoku/>
        <w:wordWrap/>
        <w:overflowPunct/>
        <w:topLinePunct w:val="0"/>
        <w:autoSpaceDE/>
        <w:autoSpaceDN/>
        <w:bidi w:val="0"/>
        <w:adjustRightInd w:val="0"/>
        <w:snapToGrid w:val="0"/>
        <w:spacing w:line="440" w:lineRule="exact"/>
        <w:ind w:firstLine="482" w:firstLineChars="200"/>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（六）</w:t>
      </w:r>
      <w:r>
        <w:rPr>
          <w:rFonts w:hint="eastAsia" w:ascii="仿宋_GB2312" w:hAnsi="仿宋_GB2312" w:eastAsia="仿宋_GB2312" w:cs="仿宋_GB2312"/>
          <w:b/>
          <w:sz w:val="24"/>
          <w:szCs w:val="24"/>
        </w:rPr>
        <w:t>半导体器件</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(1)半导体的导电方式、特性；</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(2)杂质半导体（P型半导体、N型半导体）；</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(3)PN结的特点；</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(4)二极管、稳压二极管、三极管的工作原理、伏安特性、主要参数；</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(5)含二极管电路的分析。</w:t>
      </w:r>
    </w:p>
    <w:p>
      <w:pPr>
        <w:keepNext w:val="0"/>
        <w:keepLines w:val="0"/>
        <w:pageBreakBefore w:val="0"/>
        <w:widowControl w:val="0"/>
        <w:kinsoku/>
        <w:wordWrap/>
        <w:overflowPunct/>
        <w:topLinePunct w:val="0"/>
        <w:autoSpaceDE/>
        <w:autoSpaceDN/>
        <w:bidi w:val="0"/>
        <w:adjustRightInd w:val="0"/>
        <w:snapToGrid w:val="0"/>
        <w:spacing w:line="440" w:lineRule="exact"/>
        <w:ind w:firstLine="482" w:firstLineChars="200"/>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（七）</w:t>
      </w:r>
      <w:r>
        <w:rPr>
          <w:rFonts w:hint="eastAsia" w:ascii="仿宋_GB2312" w:hAnsi="仿宋_GB2312" w:eastAsia="仿宋_GB2312" w:cs="仿宋_GB2312"/>
          <w:b/>
          <w:sz w:val="24"/>
          <w:szCs w:val="24"/>
        </w:rPr>
        <w:t>基本放大电路</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(1)共发射极放大电路、共集电极放大电路、差动放大电路、功率放大电路的结构、特点、作用；</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(2)非线性失真；</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(3)放大电路的静态分析；</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(4)放大电路的动态分析（微变等效电路法）。</w:t>
      </w:r>
    </w:p>
    <w:p>
      <w:pPr>
        <w:keepNext w:val="0"/>
        <w:keepLines w:val="0"/>
        <w:pageBreakBefore w:val="0"/>
        <w:widowControl w:val="0"/>
        <w:kinsoku/>
        <w:wordWrap/>
        <w:overflowPunct/>
        <w:topLinePunct w:val="0"/>
        <w:autoSpaceDE/>
        <w:autoSpaceDN/>
        <w:bidi w:val="0"/>
        <w:adjustRightInd w:val="0"/>
        <w:snapToGrid w:val="0"/>
        <w:spacing w:line="440" w:lineRule="exact"/>
        <w:ind w:firstLine="482" w:firstLineChars="200"/>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（八）</w:t>
      </w:r>
      <w:r>
        <w:rPr>
          <w:rFonts w:hint="eastAsia" w:ascii="仿宋_GB2312" w:hAnsi="仿宋_GB2312" w:eastAsia="仿宋_GB2312" w:cs="仿宋_GB2312"/>
          <w:b/>
          <w:sz w:val="24"/>
          <w:szCs w:val="24"/>
        </w:rPr>
        <w:t>集成运算放大器</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(1)理想运算放大器及其分析依据；</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(2)几种典型集成运算放大电路（比例运算、反相加法器、减法器）的结构、输出与输入的关系式；</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(3)集成运算放大器的应用。</w:t>
      </w:r>
    </w:p>
    <w:p>
      <w:pPr>
        <w:keepNext w:val="0"/>
        <w:keepLines w:val="0"/>
        <w:pageBreakBefore w:val="0"/>
        <w:widowControl w:val="0"/>
        <w:kinsoku/>
        <w:wordWrap/>
        <w:overflowPunct/>
        <w:topLinePunct w:val="0"/>
        <w:autoSpaceDE/>
        <w:autoSpaceDN/>
        <w:bidi w:val="0"/>
        <w:adjustRightInd w:val="0"/>
        <w:snapToGrid w:val="0"/>
        <w:spacing w:line="440" w:lineRule="exact"/>
        <w:ind w:firstLine="482" w:firstLineChars="200"/>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（九）</w:t>
      </w:r>
      <w:r>
        <w:rPr>
          <w:rFonts w:hint="eastAsia" w:ascii="仿宋_GB2312" w:hAnsi="仿宋_GB2312" w:eastAsia="仿宋_GB2312" w:cs="仿宋_GB2312"/>
          <w:b/>
          <w:sz w:val="24"/>
          <w:szCs w:val="24"/>
        </w:rPr>
        <w:t>电子电路中的反馈</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(1)反馈的基本概念；</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(2)反馈类型（正、负反馈，电流、电压反馈，串联、并联反馈）的判别；</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(3)负反馈对放大电路工作性能的影响。</w:t>
      </w:r>
    </w:p>
    <w:p>
      <w:pPr>
        <w:keepNext w:val="0"/>
        <w:keepLines w:val="0"/>
        <w:pageBreakBefore w:val="0"/>
        <w:widowControl w:val="0"/>
        <w:kinsoku/>
        <w:wordWrap/>
        <w:overflowPunct/>
        <w:topLinePunct w:val="0"/>
        <w:autoSpaceDE/>
        <w:autoSpaceDN/>
        <w:bidi w:val="0"/>
        <w:adjustRightInd w:val="0"/>
        <w:snapToGrid w:val="0"/>
        <w:spacing w:line="440" w:lineRule="exact"/>
        <w:ind w:firstLine="482" w:firstLineChars="200"/>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（十）</w:t>
      </w:r>
      <w:r>
        <w:rPr>
          <w:rFonts w:hint="eastAsia" w:ascii="仿宋_GB2312" w:hAnsi="仿宋_GB2312" w:eastAsia="仿宋_GB2312" w:cs="仿宋_GB2312"/>
          <w:b/>
          <w:sz w:val="24"/>
          <w:szCs w:val="24"/>
        </w:rPr>
        <w:t>直流稳压电源</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(1)直流稳压电源的结构；</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(2)桥式整流电路、电容滤波电路的分析及元件参数的选择；</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(3)稳压管稳压电路、串联型晶体管稳压电路的基本结构和工作原理。</w:t>
      </w:r>
    </w:p>
    <w:p>
      <w:pPr>
        <w:keepNext w:val="0"/>
        <w:keepLines w:val="0"/>
        <w:pageBreakBefore w:val="0"/>
        <w:widowControl w:val="0"/>
        <w:kinsoku/>
        <w:wordWrap/>
        <w:overflowPunct/>
        <w:topLinePunct w:val="0"/>
        <w:autoSpaceDE/>
        <w:autoSpaceDN/>
        <w:bidi w:val="0"/>
        <w:adjustRightInd w:val="0"/>
        <w:snapToGrid w:val="0"/>
        <w:spacing w:line="440" w:lineRule="exact"/>
        <w:ind w:firstLine="482" w:firstLineChars="200"/>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（十一）</w:t>
      </w:r>
      <w:r>
        <w:rPr>
          <w:rFonts w:hint="eastAsia" w:ascii="仿宋_GB2312" w:hAnsi="仿宋_GB2312" w:eastAsia="仿宋_GB2312" w:cs="仿宋_GB2312"/>
          <w:b/>
          <w:sz w:val="24"/>
          <w:szCs w:val="24"/>
        </w:rPr>
        <w:t>门电路和组合逻辑电路</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(1)数字电路的信号、元件和进制；</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sz w:val="24"/>
          <w:szCs w:val="24"/>
        </w:rPr>
        <w:t>(2)与门、或门、非门、与非门、或非门等基本门电路的逻辑功能及其实现</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(3)逻辑代数运算法则及逻辑表达式化简；</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(4)组合逻辑电路的分析、设计；</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(5)几种常用的组合逻辑电路（加法器、编码器、显示译码器）的工作原理与功能。</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五、主要参考教材</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1.秦曾煌主编，《电工学（上册）》（电工技术部分）（第七版），高等教育出版社，2009年。</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2.秦曾煌主编，《电工学（下册）》（电子技术部分）（第七版），高等教育出版社，2009年。</w:t>
      </w:r>
    </w:p>
    <w:sectPr>
      <w:footerReference r:id="rId3" w:type="default"/>
      <w:pgSz w:w="11906" w:h="16838"/>
      <w:pgMar w:top="1418" w:right="1474" w:bottom="1417" w:left="1474" w:header="851" w:footer="992" w:gutter="0"/>
      <w:cols w:space="425" w:num="1"/>
      <w:docGrid w:linePitch="323" w:charSpace="-353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37138306"/>
      <w:docPartObj>
        <w:docPartGallery w:val="autotext"/>
      </w:docPartObj>
    </w:sdtPr>
    <w:sdtContent>
      <w:p>
        <w:pPr>
          <w:pStyle w:val="3"/>
          <w:jc w:val="center"/>
        </w:pPr>
        <w:r>
          <w:fldChar w:fldCharType="begin"/>
        </w:r>
        <w:r>
          <w:instrText xml:space="preserve">PAGE   \* MERGEFORMAT</w:instrText>
        </w:r>
        <w:r>
          <w:fldChar w:fldCharType="separate"/>
        </w:r>
        <w:r>
          <w:rPr>
            <w:lang w:val="zh-CN"/>
          </w:rPr>
          <w:t>2</w:t>
        </w:r>
        <w: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MyOGZmZWNjZTMzYjFiOTJlNjgzNzE1YWY4ZDE4MGUifQ=="/>
  </w:docVars>
  <w:rsids>
    <w:rsidRoot w:val="40B2400C"/>
    <w:rsid w:val="0000198D"/>
    <w:rsid w:val="00015E47"/>
    <w:rsid w:val="00030966"/>
    <w:rsid w:val="000320E8"/>
    <w:rsid w:val="0003695C"/>
    <w:rsid w:val="000624D6"/>
    <w:rsid w:val="000B2668"/>
    <w:rsid w:val="000D5D98"/>
    <w:rsid w:val="00102E13"/>
    <w:rsid w:val="00103508"/>
    <w:rsid w:val="00142757"/>
    <w:rsid w:val="00154B99"/>
    <w:rsid w:val="00157B39"/>
    <w:rsid w:val="001D570B"/>
    <w:rsid w:val="001E5246"/>
    <w:rsid w:val="00231C82"/>
    <w:rsid w:val="002354A9"/>
    <w:rsid w:val="002C0D18"/>
    <w:rsid w:val="002E443C"/>
    <w:rsid w:val="002E75C4"/>
    <w:rsid w:val="00311DAC"/>
    <w:rsid w:val="003249CD"/>
    <w:rsid w:val="003331A3"/>
    <w:rsid w:val="00372265"/>
    <w:rsid w:val="003B5B25"/>
    <w:rsid w:val="003E0D9C"/>
    <w:rsid w:val="003F5EAF"/>
    <w:rsid w:val="004461D1"/>
    <w:rsid w:val="00450E21"/>
    <w:rsid w:val="004C30F9"/>
    <w:rsid w:val="004C420B"/>
    <w:rsid w:val="004D5F3E"/>
    <w:rsid w:val="00524000"/>
    <w:rsid w:val="0058638A"/>
    <w:rsid w:val="0059570E"/>
    <w:rsid w:val="005B01AF"/>
    <w:rsid w:val="005E0CA1"/>
    <w:rsid w:val="00625485"/>
    <w:rsid w:val="00626FCE"/>
    <w:rsid w:val="0064361C"/>
    <w:rsid w:val="00673492"/>
    <w:rsid w:val="00675F24"/>
    <w:rsid w:val="0069319C"/>
    <w:rsid w:val="006A02FE"/>
    <w:rsid w:val="006D4668"/>
    <w:rsid w:val="00707CB1"/>
    <w:rsid w:val="007140F0"/>
    <w:rsid w:val="0077335F"/>
    <w:rsid w:val="00782BEC"/>
    <w:rsid w:val="00785C21"/>
    <w:rsid w:val="007C05BB"/>
    <w:rsid w:val="007F2387"/>
    <w:rsid w:val="00844FB2"/>
    <w:rsid w:val="008746D2"/>
    <w:rsid w:val="00885622"/>
    <w:rsid w:val="008A10CB"/>
    <w:rsid w:val="008A24EA"/>
    <w:rsid w:val="008E21B3"/>
    <w:rsid w:val="00910D7C"/>
    <w:rsid w:val="00912740"/>
    <w:rsid w:val="0091510D"/>
    <w:rsid w:val="00935A55"/>
    <w:rsid w:val="00940268"/>
    <w:rsid w:val="00945497"/>
    <w:rsid w:val="009B55E5"/>
    <w:rsid w:val="009C2E11"/>
    <w:rsid w:val="00A0658E"/>
    <w:rsid w:val="00A46CD2"/>
    <w:rsid w:val="00AA09DE"/>
    <w:rsid w:val="00AB39B5"/>
    <w:rsid w:val="00AB6192"/>
    <w:rsid w:val="00AC32B6"/>
    <w:rsid w:val="00AD6568"/>
    <w:rsid w:val="00AE704E"/>
    <w:rsid w:val="00B30053"/>
    <w:rsid w:val="00B71D29"/>
    <w:rsid w:val="00BA0336"/>
    <w:rsid w:val="00BA5D7D"/>
    <w:rsid w:val="00C07DCD"/>
    <w:rsid w:val="00C145DA"/>
    <w:rsid w:val="00C51FF4"/>
    <w:rsid w:val="00C55184"/>
    <w:rsid w:val="00C617B2"/>
    <w:rsid w:val="00C630C0"/>
    <w:rsid w:val="00CA72DA"/>
    <w:rsid w:val="00CA77CC"/>
    <w:rsid w:val="00CD42CF"/>
    <w:rsid w:val="00D117BC"/>
    <w:rsid w:val="00D12026"/>
    <w:rsid w:val="00D54137"/>
    <w:rsid w:val="00D717CD"/>
    <w:rsid w:val="00D84C88"/>
    <w:rsid w:val="00E26D7D"/>
    <w:rsid w:val="00E4499B"/>
    <w:rsid w:val="00E543A3"/>
    <w:rsid w:val="00E736E4"/>
    <w:rsid w:val="00EC7C5D"/>
    <w:rsid w:val="00FB28CC"/>
    <w:rsid w:val="00FB4979"/>
    <w:rsid w:val="00FB6446"/>
    <w:rsid w:val="00FE4EC1"/>
    <w:rsid w:val="0E000AE3"/>
    <w:rsid w:val="21B87D0A"/>
    <w:rsid w:val="25F34079"/>
    <w:rsid w:val="40B2400C"/>
    <w:rsid w:val="52C00E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qFormat="1" w:uiPriority="99"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unhideWhenUsed/>
    <w:qFormat/>
    <w:uiPriority w:val="99"/>
    <w:pPr>
      <w:spacing w:beforeLines="30" w:line="480" w:lineRule="exact"/>
      <w:ind w:firstLine="520" w:firstLineChars="200"/>
    </w:pPr>
    <w:rPr>
      <w:rFonts w:hAnsi="宋体"/>
      <w:sz w:val="26"/>
      <w:szCs w:val="32"/>
    </w:r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0"/>
    <w:rPr>
      <w:kern w:val="2"/>
      <w:sz w:val="18"/>
      <w:szCs w:val="18"/>
    </w:rPr>
  </w:style>
  <w:style w:type="character" w:customStyle="1" w:styleId="8">
    <w:name w:val="页脚 字符"/>
    <w:basedOn w:val="6"/>
    <w:link w:val="3"/>
    <w:qFormat/>
    <w:uiPriority w:val="99"/>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hunau-gxy</Company>
  <Pages>4</Pages>
  <Words>274</Words>
  <Characters>1565</Characters>
  <Lines>13</Lines>
  <Paragraphs>3</Paragraphs>
  <TotalTime>3</TotalTime>
  <ScaleCrop>false</ScaleCrop>
  <LinksUpToDate>false</LinksUpToDate>
  <CharactersWithSpaces>1836</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2022-09-06T03:30:00Z</dcterms:created>
  <dc:creator>WPS_1528205568</dc:creator>
  <cp:lastModifiedBy>Y.</cp:lastModifiedBy>
  <dcterms:modified xsi:type="dcterms:W3CDTF">2023-09-21T07:15:52Z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022CC0FC3FC14787846FEA9BA70D2250_13</vt:lpwstr>
  </property>
</Properties>
</file>